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922CF" w14:textId="3D328B84" w:rsidR="00F747FD" w:rsidRDefault="00F747FD" w:rsidP="001B6040">
      <w:pPr>
        <w:spacing w:after="800" w:line="240" w:lineRule="auto"/>
        <w:jc w:val="center"/>
        <w:rPr>
          <w:rFonts w:ascii="Arial" w:hAnsi="Arial" w:cs="Arial"/>
          <w:b/>
          <w:szCs w:val="22"/>
        </w:rPr>
      </w:pPr>
    </w:p>
    <w:p w14:paraId="571F194C" w14:textId="77777777" w:rsidR="00D11BF6" w:rsidRDefault="00D11BF6" w:rsidP="001B6040">
      <w:pPr>
        <w:spacing w:after="800" w:line="240" w:lineRule="auto"/>
        <w:jc w:val="center"/>
        <w:rPr>
          <w:rFonts w:ascii="Arial" w:hAnsi="Arial" w:cs="Arial"/>
          <w:b/>
          <w:szCs w:val="22"/>
        </w:rPr>
      </w:pPr>
    </w:p>
    <w:p w14:paraId="49223CDE" w14:textId="455879F9" w:rsidR="001B6040" w:rsidRPr="001B6040" w:rsidRDefault="001B6040" w:rsidP="001B6040">
      <w:pPr>
        <w:pBdr>
          <w:bottom w:val="single" w:sz="4" w:space="1" w:color="auto"/>
        </w:pBdr>
        <w:autoSpaceDE w:val="0"/>
        <w:autoSpaceDN w:val="0"/>
        <w:adjustRightInd w:val="0"/>
        <w:spacing w:after="0" w:line="360" w:lineRule="auto"/>
        <w:rPr>
          <w:rFonts w:ascii="Arial" w:hAnsi="Arial" w:cs="Arial"/>
          <w:b/>
          <w:i/>
          <w:color w:val="000000"/>
          <w:szCs w:val="22"/>
        </w:rPr>
      </w:pPr>
      <w:r w:rsidRPr="001B6040">
        <w:rPr>
          <w:rFonts w:ascii="Arial" w:hAnsi="Arial" w:cs="Arial"/>
          <w:b/>
          <w:i/>
          <w:color w:val="000000"/>
          <w:szCs w:val="22"/>
        </w:rPr>
        <w:t xml:space="preserve">Proyecto de Real Decreto por el que </w:t>
      </w:r>
      <w:r>
        <w:rPr>
          <w:rFonts w:ascii="Arial" w:hAnsi="Arial" w:cs="Arial"/>
          <w:b/>
          <w:i/>
          <w:color w:val="000000"/>
          <w:szCs w:val="22"/>
        </w:rPr>
        <w:t xml:space="preserve">se regula la compatibilidad del ingreso mínimo vital con los ingresos </w:t>
      </w:r>
      <w:r w:rsidRPr="001B6040">
        <w:rPr>
          <w:rFonts w:ascii="Arial" w:hAnsi="Arial" w:cs="Arial"/>
          <w:b/>
          <w:i/>
          <w:color w:val="000000"/>
          <w:szCs w:val="22"/>
        </w:rPr>
        <w:t>procedentes de rentas del trabajo o de la actividad económica por cuenta propia</w:t>
      </w:r>
    </w:p>
    <w:p w14:paraId="4185E026" w14:textId="77777777" w:rsidR="001B6040" w:rsidRPr="001B6040" w:rsidRDefault="001B6040" w:rsidP="001B6040">
      <w:pPr>
        <w:autoSpaceDE w:val="0"/>
        <w:autoSpaceDN w:val="0"/>
        <w:adjustRightInd w:val="0"/>
        <w:spacing w:after="0" w:line="360" w:lineRule="auto"/>
        <w:rPr>
          <w:rFonts w:ascii="Arial" w:hAnsi="Arial" w:cs="Arial"/>
          <w:color w:val="000000"/>
          <w:szCs w:val="22"/>
        </w:rPr>
      </w:pPr>
    </w:p>
    <w:p w14:paraId="2D6A5930" w14:textId="6FE40173" w:rsidR="00F747FD" w:rsidRDefault="00F747FD" w:rsidP="001B6040">
      <w:pPr>
        <w:spacing w:after="800" w:line="240" w:lineRule="auto"/>
        <w:jc w:val="center"/>
        <w:rPr>
          <w:rFonts w:ascii="Arial" w:hAnsi="Arial" w:cs="Arial"/>
          <w:b/>
          <w:szCs w:val="22"/>
        </w:rPr>
      </w:pPr>
    </w:p>
    <w:p w14:paraId="1918850D" w14:textId="5CB50954" w:rsidR="001B6040" w:rsidRDefault="001B6040" w:rsidP="001B6040">
      <w:pPr>
        <w:spacing w:after="800" w:line="240" w:lineRule="auto"/>
        <w:jc w:val="center"/>
        <w:rPr>
          <w:rFonts w:ascii="Arial" w:hAnsi="Arial" w:cs="Arial"/>
          <w:b/>
          <w:szCs w:val="22"/>
        </w:rPr>
      </w:pPr>
    </w:p>
    <w:p w14:paraId="2833D1E7" w14:textId="67086475" w:rsidR="001B6040" w:rsidRDefault="001B6040" w:rsidP="001B6040">
      <w:pPr>
        <w:spacing w:after="800" w:line="240" w:lineRule="auto"/>
        <w:jc w:val="center"/>
        <w:rPr>
          <w:rFonts w:ascii="Arial" w:hAnsi="Arial" w:cs="Arial"/>
          <w:b/>
          <w:szCs w:val="22"/>
        </w:rPr>
      </w:pPr>
    </w:p>
    <w:p w14:paraId="4802B8AA" w14:textId="2B733BA2" w:rsidR="001B6040" w:rsidRDefault="001B6040" w:rsidP="001B6040">
      <w:pPr>
        <w:spacing w:after="800" w:line="240" w:lineRule="auto"/>
        <w:jc w:val="center"/>
        <w:rPr>
          <w:rFonts w:ascii="Arial" w:hAnsi="Arial" w:cs="Arial"/>
          <w:b/>
          <w:szCs w:val="22"/>
        </w:rPr>
      </w:pPr>
    </w:p>
    <w:p w14:paraId="7EC38293" w14:textId="2D75419B" w:rsidR="001B6040" w:rsidRDefault="001B6040" w:rsidP="001B6040">
      <w:pPr>
        <w:spacing w:after="800" w:line="240" w:lineRule="auto"/>
        <w:jc w:val="center"/>
        <w:rPr>
          <w:rFonts w:ascii="Arial" w:hAnsi="Arial" w:cs="Arial"/>
          <w:b/>
          <w:szCs w:val="22"/>
        </w:rPr>
      </w:pPr>
    </w:p>
    <w:p w14:paraId="0662A90F" w14:textId="11FC5E72" w:rsidR="001B6040" w:rsidRDefault="001B6040" w:rsidP="001B6040">
      <w:pPr>
        <w:spacing w:after="800" w:line="240" w:lineRule="auto"/>
        <w:jc w:val="center"/>
        <w:rPr>
          <w:rFonts w:ascii="Arial" w:hAnsi="Arial" w:cs="Arial"/>
          <w:b/>
          <w:szCs w:val="22"/>
        </w:rPr>
      </w:pPr>
    </w:p>
    <w:p w14:paraId="19C00585" w14:textId="76A08B71" w:rsidR="001B6040" w:rsidRDefault="001B6040" w:rsidP="001B6040">
      <w:pPr>
        <w:spacing w:after="800" w:line="240" w:lineRule="auto"/>
        <w:jc w:val="center"/>
        <w:rPr>
          <w:rFonts w:ascii="Arial" w:hAnsi="Arial" w:cs="Arial"/>
          <w:b/>
          <w:szCs w:val="22"/>
        </w:rPr>
      </w:pPr>
    </w:p>
    <w:p w14:paraId="08125CE0" w14:textId="4381A35D" w:rsidR="001B6040" w:rsidRDefault="001B6040" w:rsidP="001B6040">
      <w:pPr>
        <w:spacing w:after="800" w:line="240" w:lineRule="auto"/>
        <w:jc w:val="center"/>
        <w:rPr>
          <w:rFonts w:ascii="Arial" w:hAnsi="Arial" w:cs="Arial"/>
          <w:b/>
          <w:szCs w:val="22"/>
        </w:rPr>
      </w:pPr>
    </w:p>
    <w:p w14:paraId="13AEEE81" w14:textId="440800C3" w:rsidR="0094696D" w:rsidRPr="006E33F2" w:rsidRDefault="004B25B8" w:rsidP="004C0F04">
      <w:pPr>
        <w:spacing w:after="800" w:line="240" w:lineRule="auto"/>
        <w:rPr>
          <w:rFonts w:ascii="Arial" w:eastAsia="Calibri" w:hAnsi="Arial" w:cs="Arial"/>
          <w:szCs w:val="22"/>
        </w:rPr>
      </w:pPr>
      <w:r>
        <w:rPr>
          <w:rFonts w:ascii="Arial" w:hAnsi="Arial" w:cs="Arial"/>
          <w:b/>
          <w:noProof/>
          <w:szCs w:val="22"/>
        </w:rPr>
        <w:lastRenderedPageBreak/>
        <w:object w:dxaOrig="1440" w:dyaOrig="1440" w14:anchorId="6C6CE9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3.05pt;margin-top:30.1pt;width:56.15pt;height:59.25pt;z-index:251658240;mso-position-horizontal-relative:page;mso-position-vertical-relative:page" filled="t" fillcolor="#fc0">
            <v:imagedata r:id="rId8" o:title="" gain="74473f" blacklevel="3932f"/>
            <o:lock v:ext="edit" aspectratio="f"/>
            <w10:wrap type="square" side="right" anchorx="page" anchory="page"/>
          </v:shape>
          <o:OLEObject Type="Embed" ProgID="PBrush" ShapeID="_x0000_s1026" DrawAspect="Content" ObjectID="_1718190174" r:id="rId9"/>
        </w:object>
      </w:r>
      <w:r w:rsidR="0094696D" w:rsidRPr="006E33F2">
        <w:rPr>
          <w:rFonts w:ascii="Arial" w:eastAsia="Calibri" w:hAnsi="Arial" w:cs="Arial"/>
          <w:szCs w:val="22"/>
        </w:rPr>
        <w:t xml:space="preserve">El </w:t>
      </w:r>
      <w:r w:rsidR="0094696D" w:rsidRPr="004C0F04">
        <w:rPr>
          <w:rFonts w:ascii="Arial" w:eastAsia="Calibri" w:hAnsi="Arial" w:cs="Arial"/>
          <w:szCs w:val="22"/>
        </w:rPr>
        <w:t>Real Decreto-ley 20/2020, de 29 de mayo, por el qu</w:t>
      </w:r>
      <w:r w:rsidR="0094696D" w:rsidRPr="006E33F2">
        <w:rPr>
          <w:rFonts w:ascii="Arial" w:eastAsia="Calibri" w:hAnsi="Arial" w:cs="Arial"/>
          <w:szCs w:val="22"/>
        </w:rPr>
        <w:t xml:space="preserve">e se establece el ingreso mínimo vital, crea y regula esta prestación dirigida a prevenir el riesgo de pobreza y exclusión social de las personas que se encuentran en una situación de vulnerabilidad por carecer de recursos económicos suficientes para la cobertura de sus necesidades básicas. </w:t>
      </w:r>
    </w:p>
    <w:p w14:paraId="3900896E" w14:textId="77777777" w:rsidR="0094696D" w:rsidRPr="006E33F2" w:rsidRDefault="0094696D" w:rsidP="0094696D">
      <w:pPr>
        <w:spacing w:line="240" w:lineRule="auto"/>
        <w:rPr>
          <w:rFonts w:ascii="Arial" w:eastAsia="Calibri" w:hAnsi="Arial" w:cs="Arial"/>
          <w:szCs w:val="22"/>
        </w:rPr>
      </w:pPr>
      <w:r w:rsidRPr="006E33F2">
        <w:rPr>
          <w:rFonts w:ascii="Arial" w:eastAsia="Calibri" w:hAnsi="Arial" w:cs="Arial"/>
          <w:szCs w:val="22"/>
        </w:rPr>
        <w:t>El objetivo principal del ingreso mínimo vital es el de garantizar la participación plena de toda la ciudadanía en la vida social y económica, rompiendo el vínculo entre pobreza y falta de acceso a oportunidades que sufren las personas en situación de vulnerabilidad.</w:t>
      </w:r>
    </w:p>
    <w:p w14:paraId="64A50E23" w14:textId="77777777" w:rsidR="0094696D" w:rsidRPr="006E33F2" w:rsidRDefault="0094696D" w:rsidP="0094696D">
      <w:pPr>
        <w:spacing w:line="240" w:lineRule="auto"/>
        <w:rPr>
          <w:rFonts w:ascii="Arial" w:hAnsi="Arial" w:cs="Arial"/>
          <w:color w:val="000000" w:themeColor="text1"/>
          <w:szCs w:val="22"/>
        </w:rPr>
      </w:pPr>
      <w:r w:rsidRPr="006E33F2">
        <w:rPr>
          <w:rFonts w:ascii="Arial" w:hAnsi="Arial" w:cs="Arial"/>
          <w:color w:val="000000" w:themeColor="text1"/>
          <w:szCs w:val="22"/>
        </w:rPr>
        <w:t>Esta prestación nace con el objetivo principal de garantizar, a través de la satisfacción de unas condiciones materiales mínimas, la participación plena de toda la ciudadanía en la vida social y económica, rompiendo el vínculo entre ausencia estructural de recursos y falta de acceso a oportunidades en los ámbitos laboral, educativo, o social de los individuos.</w:t>
      </w:r>
    </w:p>
    <w:p w14:paraId="2B1C3201" w14:textId="77777777" w:rsidR="0094696D" w:rsidRPr="006E33F2" w:rsidRDefault="0094696D" w:rsidP="0094696D">
      <w:pPr>
        <w:spacing w:line="240" w:lineRule="auto"/>
        <w:rPr>
          <w:rFonts w:ascii="Arial" w:eastAsia="Calibri" w:hAnsi="Arial" w:cs="Arial"/>
          <w:szCs w:val="22"/>
        </w:rPr>
      </w:pPr>
      <w:r w:rsidRPr="006E33F2">
        <w:rPr>
          <w:rFonts w:ascii="Arial" w:eastAsia="Calibri" w:hAnsi="Arial" w:cs="Arial"/>
          <w:szCs w:val="22"/>
        </w:rPr>
        <w:t xml:space="preserve">Para impulsar el tránsito desde una situación de exclusión a una de participación en la sociedad, </w:t>
      </w:r>
      <w:r w:rsidRPr="004C0F04">
        <w:rPr>
          <w:rFonts w:ascii="Arial" w:eastAsia="Calibri" w:hAnsi="Arial" w:cs="Arial"/>
          <w:szCs w:val="22"/>
        </w:rPr>
        <w:t xml:space="preserve">el Real Decreto-ley 20/2020, de 29 de mayo, establece </w:t>
      </w:r>
      <w:r w:rsidRPr="006E33F2">
        <w:rPr>
          <w:rFonts w:ascii="Arial" w:eastAsia="Calibri" w:hAnsi="Arial" w:cs="Arial"/>
          <w:szCs w:val="22"/>
        </w:rPr>
        <w:t xml:space="preserve">que el ingreso mínimo vital contendrá en su diseño incentivos al empleo y a la inclusión aplicados con el fin de evitar la llamada “trampa de pobreza”, es decir, que la mera existencia de la prestación inhiba el objetivo de inclusión social y económica de las personas beneficiarias. </w:t>
      </w:r>
    </w:p>
    <w:p w14:paraId="73B7094E" w14:textId="77777777" w:rsidR="0094696D" w:rsidRDefault="0094696D" w:rsidP="0094696D">
      <w:pPr>
        <w:spacing w:line="240" w:lineRule="auto"/>
        <w:rPr>
          <w:rFonts w:ascii="Arial" w:hAnsi="Arial" w:cs="Arial"/>
          <w:color w:val="000000" w:themeColor="text1"/>
          <w:szCs w:val="22"/>
        </w:rPr>
      </w:pPr>
      <w:r w:rsidRPr="006E33F2">
        <w:rPr>
          <w:rFonts w:ascii="Arial" w:hAnsi="Arial" w:cs="Arial"/>
          <w:color w:val="000000" w:themeColor="text1"/>
          <w:szCs w:val="22"/>
        </w:rPr>
        <w:t xml:space="preserve">De conformidad con lo dispuesto en el artículo 86.3 de la Constitución, tras la Resolución de 10 de junio de 2020, del Congreso de los Diputados, por la que se ordena la publicación del Acuerdo de convalidación del Real Decreto-ley 20/2020, de 29 de mayo, por el que se establece el ingreso mínimo vital, </w:t>
      </w:r>
      <w:r>
        <w:rPr>
          <w:rFonts w:ascii="Arial" w:hAnsi="Arial" w:cs="Arial"/>
          <w:color w:val="000000" w:themeColor="text1"/>
          <w:szCs w:val="22"/>
        </w:rPr>
        <w:t xml:space="preserve">se llevó a cabo su tramitación como proyecto de ley, lo que culminó en la aprobación de </w:t>
      </w:r>
      <w:r w:rsidRPr="006E33F2">
        <w:rPr>
          <w:rFonts w:ascii="Arial" w:hAnsi="Arial" w:cs="Arial"/>
          <w:color w:val="000000" w:themeColor="text1"/>
          <w:szCs w:val="22"/>
        </w:rPr>
        <w:t>la Ley 19/2021, de 20 de diciembre, por la que se establece el ingreso mínimo vital.</w:t>
      </w:r>
    </w:p>
    <w:p w14:paraId="4FECF756" w14:textId="77777777" w:rsidR="0094696D" w:rsidRDefault="0094696D" w:rsidP="0094696D">
      <w:pPr>
        <w:spacing w:line="240" w:lineRule="auto"/>
        <w:rPr>
          <w:rFonts w:ascii="Arial" w:hAnsi="Arial" w:cs="Arial"/>
          <w:color w:val="000000" w:themeColor="text1"/>
          <w:szCs w:val="22"/>
        </w:rPr>
      </w:pPr>
      <w:r>
        <w:rPr>
          <w:rFonts w:ascii="Arial" w:hAnsi="Arial" w:cs="Arial"/>
          <w:color w:val="000000" w:themeColor="text1"/>
          <w:szCs w:val="22"/>
        </w:rPr>
        <w:t>Pero la disyuntiva entre eficiencia y equidad ha estado presente en el diseño de las políticas públicas desde la década de los años 60, especialmente en aquellas condicionas a renta, y aunque prestaciones como el IMV consiguen reducir la pobreza extrema y mejorar la distribución de los ingresos primarios, lo que se traduce en una mejora de la equidad social, lo cierto es que sin incentivos al trabajo podría llegar a mantener bajo la trampa de la pobreza a determinados beneficiarios que pudiendo incorporarse al mercado laboral no lo hacen por miedo a ver reducida su prestación al aumentar el salario.</w:t>
      </w:r>
    </w:p>
    <w:p w14:paraId="50D97DC6" w14:textId="42219263" w:rsidR="0094696D" w:rsidRDefault="0094696D" w:rsidP="0094696D">
      <w:pPr>
        <w:spacing w:line="240" w:lineRule="auto"/>
        <w:rPr>
          <w:rFonts w:ascii="Arial" w:hAnsi="Arial" w:cs="Arial"/>
          <w:color w:val="000000" w:themeColor="text1"/>
          <w:szCs w:val="22"/>
        </w:rPr>
      </w:pPr>
      <w:r>
        <w:rPr>
          <w:rFonts w:ascii="Arial" w:hAnsi="Arial" w:cs="Arial"/>
          <w:color w:val="000000" w:themeColor="text1"/>
          <w:szCs w:val="22"/>
        </w:rPr>
        <w:t>El incentivo al empleo busca la no desincentivación a incorporarse al mercado laboral o a poder incrementar el número de horas en el caso en el que el individuo esté trabajando porque hace que no pierda un euro de prestación, sino menos, por cada euro que se incrementan los salarios</w:t>
      </w:r>
      <w:r w:rsidR="004C0F04">
        <w:rPr>
          <w:rFonts w:ascii="Arial" w:hAnsi="Arial" w:cs="Arial"/>
          <w:color w:val="000000" w:themeColor="text1"/>
          <w:szCs w:val="22"/>
        </w:rPr>
        <w:t xml:space="preserve"> por </w:t>
      </w:r>
      <w:r>
        <w:rPr>
          <w:rFonts w:ascii="Arial" w:hAnsi="Arial" w:cs="Arial"/>
          <w:color w:val="000000" w:themeColor="text1"/>
          <w:szCs w:val="22"/>
        </w:rPr>
        <w:t>un incremento en la oferta laboral. Esto hace que el IMV, además de ser una medida que busca mejorar la equidad, no se convierta en una medida ineficiente desde el punto de vista económico.</w:t>
      </w:r>
    </w:p>
    <w:p w14:paraId="42BB0579" w14:textId="77777777" w:rsidR="0094696D" w:rsidRPr="006E33F2" w:rsidRDefault="0094696D" w:rsidP="0094696D">
      <w:pPr>
        <w:spacing w:line="240" w:lineRule="auto"/>
        <w:rPr>
          <w:rFonts w:ascii="Arial" w:hAnsi="Arial" w:cs="Arial"/>
          <w:color w:val="000000" w:themeColor="text1"/>
          <w:szCs w:val="22"/>
        </w:rPr>
      </w:pPr>
      <w:r>
        <w:rPr>
          <w:rFonts w:ascii="Arial" w:hAnsi="Arial" w:cs="Arial"/>
          <w:color w:val="000000" w:themeColor="text1"/>
          <w:szCs w:val="22"/>
        </w:rPr>
        <w:t xml:space="preserve">La literatura ha investigado esta cuestión desde la década de los años 60 llegando a consolidar una base teórica sólida para el diseño de los incentivos. </w:t>
      </w:r>
    </w:p>
    <w:p w14:paraId="1BCDC60E" w14:textId="77777777" w:rsidR="0094696D" w:rsidRDefault="0094696D" w:rsidP="0094696D">
      <w:pPr>
        <w:spacing w:line="240" w:lineRule="auto"/>
        <w:rPr>
          <w:rFonts w:ascii="Arial" w:hAnsi="Arial" w:cs="Arial"/>
          <w:color w:val="000000" w:themeColor="text1"/>
          <w:szCs w:val="22"/>
        </w:rPr>
      </w:pPr>
      <w:r>
        <w:rPr>
          <w:rFonts w:ascii="Arial" w:hAnsi="Arial" w:cs="Arial"/>
          <w:color w:val="000000" w:themeColor="text1"/>
          <w:szCs w:val="22"/>
        </w:rPr>
        <w:lastRenderedPageBreak/>
        <w:t>Son numerosos los países de la OCDE que tienen programas orientados al “</w:t>
      </w:r>
      <w:proofErr w:type="spellStart"/>
      <w:r w:rsidRPr="003A116C">
        <w:rPr>
          <w:rFonts w:ascii="Arial" w:hAnsi="Arial" w:cs="Arial"/>
          <w:i/>
          <w:color w:val="000000" w:themeColor="text1"/>
          <w:szCs w:val="22"/>
        </w:rPr>
        <w:t>making</w:t>
      </w:r>
      <w:proofErr w:type="spellEnd"/>
      <w:r w:rsidRPr="003A116C">
        <w:rPr>
          <w:rFonts w:ascii="Arial" w:hAnsi="Arial" w:cs="Arial"/>
          <w:i/>
          <w:color w:val="000000" w:themeColor="text1"/>
          <w:szCs w:val="22"/>
        </w:rPr>
        <w:t xml:space="preserve"> </w:t>
      </w:r>
      <w:proofErr w:type="spellStart"/>
      <w:r w:rsidRPr="003A116C">
        <w:rPr>
          <w:rFonts w:ascii="Arial" w:hAnsi="Arial" w:cs="Arial"/>
          <w:i/>
          <w:color w:val="000000" w:themeColor="text1"/>
          <w:szCs w:val="22"/>
        </w:rPr>
        <w:t>work</w:t>
      </w:r>
      <w:proofErr w:type="spellEnd"/>
      <w:r w:rsidRPr="003A116C">
        <w:rPr>
          <w:rFonts w:ascii="Arial" w:hAnsi="Arial" w:cs="Arial"/>
          <w:i/>
          <w:color w:val="000000" w:themeColor="text1"/>
          <w:szCs w:val="22"/>
        </w:rPr>
        <w:t xml:space="preserve"> </w:t>
      </w:r>
      <w:proofErr w:type="spellStart"/>
      <w:r w:rsidRPr="003A116C">
        <w:rPr>
          <w:rFonts w:ascii="Arial" w:hAnsi="Arial" w:cs="Arial"/>
          <w:i/>
          <w:color w:val="000000" w:themeColor="text1"/>
          <w:szCs w:val="22"/>
        </w:rPr>
        <w:t>pay</w:t>
      </w:r>
      <w:proofErr w:type="spellEnd"/>
      <w:r>
        <w:rPr>
          <w:rFonts w:ascii="Arial" w:hAnsi="Arial" w:cs="Arial"/>
          <w:color w:val="000000" w:themeColor="text1"/>
          <w:szCs w:val="22"/>
        </w:rPr>
        <w:t>”, en unos casos ligados a otra prestación – como sería en el caso de España el IMV - y en otros casos no, donde las principales características de su diseño son el tipo de hogar que recibe el incentivo (si se tienen en cue</w:t>
      </w:r>
      <w:bookmarkStart w:id="0" w:name="_GoBack"/>
      <w:bookmarkEnd w:id="0"/>
      <w:r>
        <w:rPr>
          <w:rFonts w:ascii="Arial" w:hAnsi="Arial" w:cs="Arial"/>
          <w:color w:val="000000" w:themeColor="text1"/>
          <w:szCs w:val="22"/>
        </w:rPr>
        <w:t xml:space="preserve">nta o no a convivientes con el solicitante), el modo de calcular la cuantía (tipo fijo o variable en fases), la unidad de análisis sobre la que se estudia el incremento en la oferta laboral (puede ser el individuo o la pareja), la frecuencia de pago (mensual o anual), si existe un número mínimo de horas trabajadas para cobrar el incentivo y la duración del incentivo. </w:t>
      </w:r>
    </w:p>
    <w:p w14:paraId="4033CB6C" w14:textId="77777777" w:rsidR="0094696D" w:rsidRDefault="0094696D" w:rsidP="0094696D">
      <w:pPr>
        <w:spacing w:line="240" w:lineRule="auto"/>
        <w:rPr>
          <w:rFonts w:ascii="Arial" w:hAnsi="Arial" w:cs="Arial"/>
          <w:color w:val="000000" w:themeColor="text1"/>
          <w:szCs w:val="22"/>
        </w:rPr>
      </w:pPr>
      <w:r>
        <w:rPr>
          <w:rFonts w:ascii="Arial" w:hAnsi="Arial" w:cs="Arial"/>
          <w:color w:val="000000" w:themeColor="text1"/>
          <w:szCs w:val="22"/>
        </w:rPr>
        <w:t xml:space="preserve">La mayoría de los trabajos que se han llevado a cabo para medir los efectos de los incentivos al empleo, y que han estudiado de una forma u otra los modelos de </w:t>
      </w:r>
      <w:proofErr w:type="gramStart"/>
      <w:r>
        <w:rPr>
          <w:rFonts w:ascii="Arial" w:hAnsi="Arial" w:cs="Arial"/>
          <w:color w:val="000000" w:themeColor="text1"/>
          <w:szCs w:val="22"/>
        </w:rPr>
        <w:t>EEUU</w:t>
      </w:r>
      <w:proofErr w:type="gramEnd"/>
      <w:r>
        <w:rPr>
          <w:rFonts w:ascii="Arial" w:hAnsi="Arial" w:cs="Arial"/>
          <w:color w:val="000000" w:themeColor="text1"/>
          <w:szCs w:val="22"/>
        </w:rPr>
        <w:t xml:space="preserve"> (</w:t>
      </w:r>
      <w:proofErr w:type="spellStart"/>
      <w:r w:rsidRPr="003A116C">
        <w:rPr>
          <w:rFonts w:ascii="Arial" w:hAnsi="Arial" w:cs="Arial"/>
          <w:i/>
          <w:color w:val="000000" w:themeColor="text1"/>
          <w:szCs w:val="22"/>
        </w:rPr>
        <w:t>Earned</w:t>
      </w:r>
      <w:proofErr w:type="spellEnd"/>
      <w:r w:rsidRPr="003A116C">
        <w:rPr>
          <w:rFonts w:ascii="Arial" w:hAnsi="Arial" w:cs="Arial"/>
          <w:i/>
          <w:color w:val="000000" w:themeColor="text1"/>
          <w:szCs w:val="22"/>
        </w:rPr>
        <w:t xml:space="preserve"> </w:t>
      </w:r>
      <w:proofErr w:type="spellStart"/>
      <w:r w:rsidRPr="003A116C">
        <w:rPr>
          <w:rFonts w:ascii="Arial" w:hAnsi="Arial" w:cs="Arial"/>
          <w:i/>
          <w:color w:val="000000" w:themeColor="text1"/>
          <w:szCs w:val="22"/>
        </w:rPr>
        <w:t>Income</w:t>
      </w:r>
      <w:proofErr w:type="spellEnd"/>
      <w:r w:rsidRPr="003A116C">
        <w:rPr>
          <w:rFonts w:ascii="Arial" w:hAnsi="Arial" w:cs="Arial"/>
          <w:i/>
          <w:color w:val="000000" w:themeColor="text1"/>
          <w:szCs w:val="22"/>
        </w:rPr>
        <w:t xml:space="preserve"> </w:t>
      </w:r>
      <w:proofErr w:type="spellStart"/>
      <w:r w:rsidRPr="003A116C">
        <w:rPr>
          <w:rFonts w:ascii="Arial" w:hAnsi="Arial" w:cs="Arial"/>
          <w:i/>
          <w:color w:val="000000" w:themeColor="text1"/>
          <w:szCs w:val="22"/>
        </w:rPr>
        <w:t>Tax</w:t>
      </w:r>
      <w:proofErr w:type="spellEnd"/>
      <w:r w:rsidRPr="003A116C">
        <w:rPr>
          <w:rFonts w:ascii="Arial" w:hAnsi="Arial" w:cs="Arial"/>
          <w:i/>
          <w:color w:val="000000" w:themeColor="text1"/>
          <w:szCs w:val="22"/>
        </w:rPr>
        <w:t xml:space="preserve"> </w:t>
      </w:r>
      <w:proofErr w:type="spellStart"/>
      <w:r w:rsidRPr="003A116C">
        <w:rPr>
          <w:rFonts w:ascii="Arial" w:hAnsi="Arial" w:cs="Arial"/>
          <w:i/>
          <w:color w:val="000000" w:themeColor="text1"/>
          <w:szCs w:val="22"/>
        </w:rPr>
        <w:t>Credit</w:t>
      </w:r>
      <w:proofErr w:type="spellEnd"/>
      <w:r>
        <w:rPr>
          <w:rFonts w:ascii="Arial" w:hAnsi="Arial" w:cs="Arial"/>
          <w:color w:val="000000" w:themeColor="text1"/>
          <w:szCs w:val="22"/>
        </w:rPr>
        <w:t xml:space="preserve"> - EITC) y Reino Unido (</w:t>
      </w:r>
      <w:proofErr w:type="spellStart"/>
      <w:r w:rsidRPr="003A116C">
        <w:rPr>
          <w:rFonts w:ascii="Arial" w:hAnsi="Arial" w:cs="Arial"/>
          <w:i/>
          <w:color w:val="000000" w:themeColor="text1"/>
          <w:szCs w:val="22"/>
        </w:rPr>
        <w:t>Working</w:t>
      </w:r>
      <w:proofErr w:type="spellEnd"/>
      <w:r w:rsidRPr="003A116C">
        <w:rPr>
          <w:rFonts w:ascii="Arial" w:hAnsi="Arial" w:cs="Arial"/>
          <w:i/>
          <w:color w:val="000000" w:themeColor="text1"/>
          <w:szCs w:val="22"/>
        </w:rPr>
        <w:t xml:space="preserve"> </w:t>
      </w:r>
      <w:proofErr w:type="spellStart"/>
      <w:r w:rsidRPr="003A116C">
        <w:rPr>
          <w:rFonts w:ascii="Arial" w:hAnsi="Arial" w:cs="Arial"/>
          <w:i/>
          <w:color w:val="000000" w:themeColor="text1"/>
          <w:szCs w:val="22"/>
        </w:rPr>
        <w:t>Tax</w:t>
      </w:r>
      <w:proofErr w:type="spellEnd"/>
      <w:r w:rsidRPr="003A116C">
        <w:rPr>
          <w:rFonts w:ascii="Arial" w:hAnsi="Arial" w:cs="Arial"/>
          <w:i/>
          <w:color w:val="000000" w:themeColor="text1"/>
          <w:szCs w:val="22"/>
        </w:rPr>
        <w:t xml:space="preserve"> </w:t>
      </w:r>
      <w:proofErr w:type="spellStart"/>
      <w:r w:rsidRPr="003A116C">
        <w:rPr>
          <w:rFonts w:ascii="Arial" w:hAnsi="Arial" w:cs="Arial"/>
          <w:i/>
          <w:color w:val="000000" w:themeColor="text1"/>
          <w:szCs w:val="22"/>
        </w:rPr>
        <w:t>Credit</w:t>
      </w:r>
      <w:proofErr w:type="spellEnd"/>
      <w:r>
        <w:rPr>
          <w:rFonts w:ascii="Arial" w:hAnsi="Arial" w:cs="Arial"/>
          <w:color w:val="000000" w:themeColor="text1"/>
          <w:szCs w:val="22"/>
        </w:rPr>
        <w:t xml:space="preserve"> - WTC) concluyen que los </w:t>
      </w:r>
      <w:proofErr w:type="spellStart"/>
      <w:r>
        <w:rPr>
          <w:rFonts w:ascii="Arial" w:hAnsi="Arial" w:cs="Arial"/>
          <w:color w:val="000000" w:themeColor="text1"/>
          <w:szCs w:val="22"/>
        </w:rPr>
        <w:t>incetivos</w:t>
      </w:r>
      <w:proofErr w:type="spellEnd"/>
      <w:r>
        <w:rPr>
          <w:rFonts w:ascii="Arial" w:hAnsi="Arial" w:cs="Arial"/>
          <w:color w:val="000000" w:themeColor="text1"/>
          <w:szCs w:val="22"/>
        </w:rPr>
        <w:t xml:space="preserve"> al empleo tienen efectos positivos en las personas de bajos ingresos.</w:t>
      </w:r>
    </w:p>
    <w:p w14:paraId="1E0FBAE3" w14:textId="77777777" w:rsidR="0094696D" w:rsidRDefault="0094696D" w:rsidP="0094696D">
      <w:pPr>
        <w:spacing w:line="240" w:lineRule="auto"/>
        <w:rPr>
          <w:rFonts w:ascii="Arial" w:hAnsi="Arial" w:cs="Arial"/>
          <w:color w:val="000000" w:themeColor="text1"/>
          <w:szCs w:val="22"/>
        </w:rPr>
      </w:pPr>
      <w:r>
        <w:rPr>
          <w:rFonts w:ascii="Arial" w:hAnsi="Arial" w:cs="Arial"/>
          <w:color w:val="000000" w:themeColor="text1"/>
          <w:szCs w:val="22"/>
        </w:rPr>
        <w:t>En términos de eficiencia se produce una mejora sustancial en madres solteras con baja cualificación, aunque hay una leve disminución del número de horas trabajadas por parte del segundo perceptor en el hogar, que suele ser una mujer. Y en términos de equidad los incentivos al empleo consiguen reducir la pobreza, si bien es cierto que la magnitud de esta reducción depende de la generosidad del esquema y de la respuesta que provoque sobre la oferta laboral, puesto que esto terminará determinando la renta disponible de las personas y sus familias.</w:t>
      </w:r>
    </w:p>
    <w:p w14:paraId="5C816956" w14:textId="77777777" w:rsidR="0094696D" w:rsidRPr="006E33F2" w:rsidRDefault="0094696D" w:rsidP="0094696D">
      <w:pPr>
        <w:spacing w:line="240" w:lineRule="auto"/>
        <w:rPr>
          <w:rFonts w:ascii="Arial" w:hAnsi="Arial" w:cs="Arial"/>
          <w:color w:val="000000" w:themeColor="text1"/>
          <w:szCs w:val="22"/>
        </w:rPr>
      </w:pPr>
      <w:r>
        <w:rPr>
          <w:rFonts w:ascii="Arial" w:hAnsi="Arial" w:cs="Arial"/>
          <w:color w:val="000000" w:themeColor="text1"/>
          <w:szCs w:val="22"/>
        </w:rPr>
        <w:t>En particular, en el contexto de la Ley 19/2021, de 20 de diciembre, por la que se establece el ingreso mínimo vital, e</w:t>
      </w:r>
      <w:r w:rsidRPr="006E33F2">
        <w:rPr>
          <w:rFonts w:ascii="Arial" w:hAnsi="Arial" w:cs="Arial"/>
          <w:color w:val="000000" w:themeColor="text1"/>
          <w:szCs w:val="22"/>
        </w:rPr>
        <w:t xml:space="preserve">l apartado cuatro del artículo 11establece que con el fin de que la percepción del ingreso mínimo vital no desincentive la participación en el mercado laboral, la percepción del ingreso mínimo vital será compatible con las rentas del trabajo o la actividad económica por cuenta propia de la persona beneficiaria individual o, en su caso, de uno o varios miembros de la unidad de convivencia en los términos y con los límites que reglamentariamente se establezcan. En estos casos, se establecerán las condiciones en las que la superación en un ejercicio de los límites de rentas establecidos en el punto 2 del citado artículo por esta causa no suponga la pérdida del derecho a la percepción del ingreso mínimo vital en el ejercicio siguiente. </w:t>
      </w:r>
      <w:r w:rsidRPr="003A116C">
        <w:rPr>
          <w:rFonts w:ascii="Arial" w:hAnsi="Arial" w:cs="Arial"/>
          <w:color w:val="000000" w:themeColor="text1"/>
          <w:szCs w:val="22"/>
        </w:rPr>
        <w:t>Este desarrollo reglamentario, en el marco del diálogo con las organizaciones empresariales y sindicales más representativas, prestará especial atención a la participación de las personas con discapacidad y las familias monoparentales</w:t>
      </w:r>
      <w:r w:rsidRPr="006E33F2">
        <w:rPr>
          <w:rFonts w:ascii="Arial" w:hAnsi="Arial" w:cs="Arial"/>
          <w:color w:val="000000" w:themeColor="text1"/>
          <w:szCs w:val="22"/>
        </w:rPr>
        <w:t>.</w:t>
      </w:r>
    </w:p>
    <w:p w14:paraId="6BB2DE08" w14:textId="077C407C" w:rsidR="0094696D" w:rsidRDefault="0094696D" w:rsidP="0094696D">
      <w:pPr>
        <w:pBdr>
          <w:bottom w:val="single" w:sz="4" w:space="1" w:color="auto"/>
        </w:pBdr>
        <w:spacing w:line="240" w:lineRule="auto"/>
        <w:rPr>
          <w:rFonts w:ascii="Arial" w:hAnsi="Arial" w:cs="Arial"/>
          <w:color w:val="000000" w:themeColor="text1"/>
          <w:szCs w:val="22"/>
        </w:rPr>
      </w:pPr>
      <w:r>
        <w:rPr>
          <w:rFonts w:ascii="Arial" w:hAnsi="Arial" w:cs="Arial"/>
          <w:color w:val="000000" w:themeColor="text1"/>
          <w:szCs w:val="22"/>
        </w:rPr>
        <w:t xml:space="preserve">Este modelo de incentivo al empleo vinculado al IMV, </w:t>
      </w:r>
      <w:r w:rsidRPr="00DD1338">
        <w:rPr>
          <w:rFonts w:ascii="Arial" w:hAnsi="Arial" w:cs="Arial"/>
          <w:color w:val="000000" w:themeColor="text1"/>
          <w:szCs w:val="22"/>
        </w:rPr>
        <w:t xml:space="preserve">que se regula </w:t>
      </w:r>
      <w:r>
        <w:rPr>
          <w:rFonts w:ascii="Arial" w:hAnsi="Arial" w:cs="Arial"/>
          <w:color w:val="000000" w:themeColor="text1"/>
          <w:szCs w:val="22"/>
        </w:rPr>
        <w:t xml:space="preserve">a través de </w:t>
      </w:r>
      <w:r w:rsidRPr="00DD1338">
        <w:rPr>
          <w:rFonts w:ascii="Arial" w:hAnsi="Arial" w:cs="Arial"/>
          <w:color w:val="000000" w:themeColor="text1"/>
          <w:szCs w:val="22"/>
        </w:rPr>
        <w:t xml:space="preserve">la compatibilidad del ingreso mínimo vital con los ingresos procedentes de rentas del trabajo o de la actividad económica por cuenta propia y que </w:t>
      </w:r>
      <w:r>
        <w:rPr>
          <w:rFonts w:ascii="Arial" w:hAnsi="Arial" w:cs="Arial"/>
          <w:color w:val="000000" w:themeColor="text1"/>
          <w:szCs w:val="22"/>
        </w:rPr>
        <w:t xml:space="preserve">consiste en determinar un importe del incremento de rentas motivadas por el trabajo que no se computan para la determinación de la cuantía de la prestación, se determina en función de la composición de la unidad de convivencia, del tipo de incremento de la oferta laboral (esto es, de si el hogar incrementa sus ingresos salariales partiendo de una situación en la que no trabajaba – hogares del margen extensivo - o los incrementa por aumentar horas de trabajo – hogares del margen intensivo), de los ingresos que dieron lugar a la prestación del IMV en función de distintos tramos de dicho incremento. </w:t>
      </w:r>
    </w:p>
    <w:p w14:paraId="44C27CC2" w14:textId="77777777" w:rsidR="0094696D" w:rsidRDefault="0094696D" w:rsidP="0094696D">
      <w:pPr>
        <w:pBdr>
          <w:bottom w:val="single" w:sz="4" w:space="1" w:color="auto"/>
        </w:pBdr>
        <w:spacing w:line="240" w:lineRule="auto"/>
        <w:rPr>
          <w:rFonts w:ascii="Arial" w:hAnsi="Arial" w:cs="Arial"/>
          <w:color w:val="000000" w:themeColor="text1"/>
          <w:szCs w:val="22"/>
        </w:rPr>
      </w:pPr>
    </w:p>
    <w:p w14:paraId="47FCD849" w14:textId="77777777" w:rsidR="0094696D" w:rsidRDefault="0094696D" w:rsidP="0094696D">
      <w:pPr>
        <w:spacing w:line="240" w:lineRule="auto"/>
        <w:rPr>
          <w:rFonts w:ascii="Arial" w:hAnsi="Arial" w:cs="Arial"/>
          <w:color w:val="000000" w:themeColor="text1"/>
          <w:szCs w:val="22"/>
        </w:rPr>
      </w:pPr>
      <w:r>
        <w:rPr>
          <w:noProof/>
        </w:rPr>
        <w:lastRenderedPageBreak/>
        <w:drawing>
          <wp:inline distT="0" distB="0" distL="0" distR="0" wp14:anchorId="04F739F4" wp14:editId="470BEEF6">
            <wp:extent cx="5610225" cy="327756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1458" cy="3278286"/>
                    </a:xfrm>
                    <a:prstGeom prst="rect">
                      <a:avLst/>
                    </a:prstGeom>
                  </pic:spPr>
                </pic:pic>
              </a:graphicData>
            </a:graphic>
          </wp:inline>
        </w:drawing>
      </w:r>
    </w:p>
    <w:p w14:paraId="6587E6EA" w14:textId="34D5640E" w:rsidR="0094696D" w:rsidRDefault="0094696D" w:rsidP="0094696D">
      <w:pPr>
        <w:spacing w:line="240" w:lineRule="auto"/>
        <w:rPr>
          <w:rFonts w:ascii="Arial" w:hAnsi="Arial" w:cs="Arial"/>
          <w:color w:val="000000" w:themeColor="text1"/>
          <w:szCs w:val="22"/>
        </w:rPr>
      </w:pPr>
      <w:r>
        <w:rPr>
          <w:rFonts w:ascii="Arial" w:hAnsi="Arial" w:cs="Arial"/>
          <w:color w:val="000000" w:themeColor="text1"/>
          <w:szCs w:val="22"/>
        </w:rPr>
        <w:t>En función de las características anteriores el trapecio es uno u otro. Son los parámetros de ese trapecio los que se detallan en los artículos de este Real Decreto.</w:t>
      </w:r>
      <w:r w:rsidR="004C0F04">
        <w:rPr>
          <w:rFonts w:ascii="Arial" w:hAnsi="Arial" w:cs="Arial"/>
          <w:color w:val="000000" w:themeColor="text1"/>
          <w:szCs w:val="22"/>
        </w:rPr>
        <w:t xml:space="preserve"> </w:t>
      </w:r>
      <w:r>
        <w:rPr>
          <w:rFonts w:ascii="Arial" w:hAnsi="Arial" w:cs="Arial"/>
          <w:color w:val="000000" w:themeColor="text1"/>
          <w:szCs w:val="22"/>
        </w:rPr>
        <w:t>Estos parámetros, de acuerdo con la teoría económica, persiguen un incentivo mayor en los hogares con niños que hogares sin niños. Dentro de la categoría de hogares con niños se quiere incentivar más a los hogares donde solo hay un adulto (familias monoparentales) frente a los que tienen dos o más adultos.</w:t>
      </w:r>
      <w:r w:rsidR="004C0F04">
        <w:rPr>
          <w:rFonts w:ascii="Arial" w:hAnsi="Arial" w:cs="Arial"/>
          <w:color w:val="000000" w:themeColor="text1"/>
          <w:szCs w:val="22"/>
        </w:rPr>
        <w:t xml:space="preserve"> </w:t>
      </w:r>
      <w:r>
        <w:rPr>
          <w:rFonts w:ascii="Arial" w:hAnsi="Arial" w:cs="Arial"/>
          <w:color w:val="000000" w:themeColor="text1"/>
          <w:szCs w:val="22"/>
        </w:rPr>
        <w:t>Además, se busca incentivar más a los hogares que pasan de no trabajar a hacerlo, que a los hogares que aun incrementando la oferta laboral ya estaban trabajando.</w:t>
      </w:r>
    </w:p>
    <w:p w14:paraId="4284A3F5" w14:textId="77777777" w:rsidR="0094696D" w:rsidRDefault="0094696D" w:rsidP="0094696D">
      <w:pPr>
        <w:spacing w:line="240" w:lineRule="auto"/>
        <w:rPr>
          <w:rFonts w:ascii="Arial" w:hAnsi="Arial" w:cs="Arial"/>
          <w:color w:val="000000" w:themeColor="text1"/>
          <w:szCs w:val="22"/>
        </w:rPr>
      </w:pPr>
      <w:r>
        <w:rPr>
          <w:rFonts w:ascii="Arial" w:hAnsi="Arial" w:cs="Arial"/>
          <w:color w:val="000000" w:themeColor="text1"/>
          <w:szCs w:val="22"/>
        </w:rPr>
        <w:t xml:space="preserve">El cálculo de estas 18 posibilidades: 3 tipos de unidades de convivencia (solo adultos, 1 adulto con niños, más de 1 adulto con niños) por 2 tipos de incremento en la oferta laboral (margen intensivo y extensivo), por 3 tramos de importes del incremento son los que se detallan.  </w:t>
      </w:r>
    </w:p>
    <w:p w14:paraId="7592BA47" w14:textId="77777777" w:rsidR="0094696D" w:rsidRDefault="0094696D" w:rsidP="0094696D">
      <w:pPr>
        <w:overflowPunct w:val="0"/>
        <w:autoSpaceDE w:val="0"/>
        <w:autoSpaceDN w:val="0"/>
        <w:adjustRightInd w:val="0"/>
        <w:spacing w:after="0" w:line="240" w:lineRule="auto"/>
        <w:textAlignment w:val="baseline"/>
        <w:rPr>
          <w:rFonts w:ascii="Arial" w:hAnsi="Arial" w:cs="Arial"/>
          <w:color w:val="0070C0"/>
          <w:szCs w:val="22"/>
          <w:lang w:val="es-ES_tradnl"/>
        </w:rPr>
      </w:pPr>
      <w:r w:rsidRPr="0094696D">
        <w:rPr>
          <w:rFonts w:ascii="Arial" w:hAnsi="Arial" w:cs="Arial"/>
          <w:szCs w:val="22"/>
          <w:lang w:val="es-ES_tradnl"/>
        </w:rPr>
        <w:t>Con el fin de apoyar la participación en el mercado laboral, la reforma C22.R5 del Plan de Recuperación, Transformación y Resiliencia (PRTR) incluye entre sus objetivos la puesta en marcha del incentivo al empleo para las personas beneficiarias del ingreso mínimo vital. De acuerdo con lo previsto en el PRTR, el desarrollo reglamentario de la Ley 19/2021, de 20 de diciembre, por la que se establece el ingreso mínimo vital para la puesta en marcha del incentivo al empleo está previsto para el último trimestre del año 2022.</w:t>
      </w:r>
    </w:p>
    <w:p w14:paraId="1901328D" w14:textId="77777777" w:rsidR="0094696D" w:rsidRDefault="0094696D" w:rsidP="0094696D">
      <w:pPr>
        <w:overflowPunct w:val="0"/>
        <w:autoSpaceDE w:val="0"/>
        <w:autoSpaceDN w:val="0"/>
        <w:adjustRightInd w:val="0"/>
        <w:spacing w:after="0" w:line="240" w:lineRule="auto"/>
        <w:textAlignment w:val="baseline"/>
        <w:rPr>
          <w:rFonts w:ascii="Arial" w:hAnsi="Arial" w:cs="Arial"/>
          <w:color w:val="000000"/>
          <w:szCs w:val="22"/>
          <w:lang w:val="es-ES_tradnl"/>
        </w:rPr>
      </w:pPr>
    </w:p>
    <w:p w14:paraId="5DFD0F55" w14:textId="7D1A5CDA" w:rsidR="0094696D" w:rsidRPr="006E33F2" w:rsidRDefault="0094696D" w:rsidP="0094696D">
      <w:pPr>
        <w:spacing w:line="240" w:lineRule="auto"/>
        <w:rPr>
          <w:rFonts w:ascii="Arial" w:hAnsi="Arial" w:cs="Arial"/>
          <w:color w:val="000000" w:themeColor="text1"/>
          <w:szCs w:val="22"/>
        </w:rPr>
      </w:pPr>
      <w:r w:rsidRPr="006E33F2">
        <w:rPr>
          <w:rFonts w:ascii="Arial" w:hAnsi="Arial" w:cs="Arial"/>
          <w:color w:val="000000" w:themeColor="text1"/>
          <w:szCs w:val="22"/>
        </w:rPr>
        <w:t xml:space="preserve">El real decreto se estructura en una parte expositiva, </w:t>
      </w:r>
      <w:r w:rsidR="00DF6AAD">
        <w:rPr>
          <w:rFonts w:ascii="Arial" w:hAnsi="Arial" w:cs="Arial"/>
          <w:color w:val="000000" w:themeColor="text1"/>
          <w:szCs w:val="22"/>
        </w:rPr>
        <w:t>cinco</w:t>
      </w:r>
      <w:r w:rsidRPr="006E33F2">
        <w:rPr>
          <w:rFonts w:ascii="Arial" w:hAnsi="Arial" w:cs="Arial"/>
          <w:color w:val="000000" w:themeColor="text1"/>
          <w:szCs w:val="22"/>
        </w:rPr>
        <w:t xml:space="preserve"> artículos</w:t>
      </w:r>
      <w:r w:rsidR="00DF6AAD">
        <w:rPr>
          <w:rFonts w:ascii="Arial" w:hAnsi="Arial" w:cs="Arial"/>
          <w:color w:val="000000" w:themeColor="text1"/>
          <w:szCs w:val="22"/>
        </w:rPr>
        <w:t xml:space="preserve">, dos disposiciones adicionales </w:t>
      </w:r>
      <w:r>
        <w:rPr>
          <w:rFonts w:ascii="Arial" w:hAnsi="Arial" w:cs="Arial"/>
          <w:color w:val="000000" w:themeColor="text1"/>
          <w:szCs w:val="22"/>
        </w:rPr>
        <w:t>y dos d</w:t>
      </w:r>
      <w:r w:rsidRPr="00C079E5">
        <w:rPr>
          <w:rFonts w:ascii="Arial" w:hAnsi="Arial" w:cs="Arial"/>
          <w:color w:val="000000" w:themeColor="text1"/>
          <w:szCs w:val="22"/>
        </w:rPr>
        <w:t>isposici</w:t>
      </w:r>
      <w:r>
        <w:rPr>
          <w:rFonts w:ascii="Arial" w:hAnsi="Arial" w:cs="Arial"/>
          <w:color w:val="000000" w:themeColor="text1"/>
          <w:szCs w:val="22"/>
        </w:rPr>
        <w:t>ones</w:t>
      </w:r>
      <w:r w:rsidRPr="00C079E5">
        <w:rPr>
          <w:rFonts w:ascii="Arial" w:hAnsi="Arial" w:cs="Arial"/>
          <w:color w:val="000000" w:themeColor="text1"/>
          <w:szCs w:val="22"/>
        </w:rPr>
        <w:t xml:space="preserve"> final</w:t>
      </w:r>
      <w:r>
        <w:rPr>
          <w:rFonts w:ascii="Arial" w:hAnsi="Arial" w:cs="Arial"/>
          <w:color w:val="000000" w:themeColor="text1"/>
          <w:szCs w:val="22"/>
        </w:rPr>
        <w:t>es</w:t>
      </w:r>
      <w:r w:rsidRPr="00C079E5">
        <w:rPr>
          <w:rFonts w:ascii="Arial" w:hAnsi="Arial" w:cs="Arial"/>
          <w:color w:val="000000" w:themeColor="text1"/>
          <w:szCs w:val="22"/>
        </w:rPr>
        <w:t>.</w:t>
      </w:r>
      <w:r w:rsidRPr="006E33F2">
        <w:rPr>
          <w:rFonts w:ascii="Arial" w:hAnsi="Arial" w:cs="Arial"/>
          <w:color w:val="000000" w:themeColor="text1"/>
          <w:szCs w:val="22"/>
        </w:rPr>
        <w:t xml:space="preserve"> En el texto articulado se regula el objeto del real decreto, </w:t>
      </w:r>
      <w:r w:rsidR="00DF6AAD">
        <w:rPr>
          <w:rFonts w:ascii="Arial" w:hAnsi="Arial" w:cs="Arial"/>
          <w:color w:val="000000" w:themeColor="text1"/>
          <w:szCs w:val="22"/>
        </w:rPr>
        <w:t xml:space="preserve">las personas beneficiarias, el cómputo de rentas y los tramos </w:t>
      </w:r>
      <w:r>
        <w:rPr>
          <w:rFonts w:ascii="Arial" w:hAnsi="Arial" w:cs="Arial"/>
          <w:color w:val="000000" w:themeColor="text1"/>
          <w:szCs w:val="22"/>
        </w:rPr>
        <w:t xml:space="preserve">para </w:t>
      </w:r>
      <w:r w:rsidRPr="00267DEF">
        <w:rPr>
          <w:rFonts w:ascii="Arial" w:hAnsi="Arial" w:cs="Arial"/>
          <w:color w:val="000000" w:themeColor="text1"/>
          <w:szCs w:val="22"/>
        </w:rPr>
        <w:t>establecer los incrementos de ingresos procedentes de rentas del trabajo o de la actividad económica por cuenta propia</w:t>
      </w:r>
      <w:r>
        <w:rPr>
          <w:rFonts w:ascii="Arial" w:hAnsi="Arial" w:cs="Arial"/>
          <w:color w:val="000000" w:themeColor="text1"/>
          <w:szCs w:val="22"/>
        </w:rPr>
        <w:t xml:space="preserve"> que se excepcionarán del cómputo de rentas</w:t>
      </w:r>
      <w:r w:rsidRPr="006E33F2">
        <w:rPr>
          <w:rFonts w:ascii="Arial" w:hAnsi="Arial" w:cs="Arial"/>
          <w:color w:val="000000" w:themeColor="text1"/>
          <w:szCs w:val="22"/>
        </w:rPr>
        <w:t xml:space="preserve">. En la disposición final </w:t>
      </w:r>
      <w:r w:rsidR="00DF6AAD">
        <w:rPr>
          <w:rFonts w:ascii="Arial" w:hAnsi="Arial" w:cs="Arial"/>
          <w:color w:val="000000" w:themeColor="text1"/>
          <w:szCs w:val="22"/>
        </w:rPr>
        <w:t xml:space="preserve">segunda </w:t>
      </w:r>
      <w:r w:rsidRPr="006E33F2">
        <w:rPr>
          <w:rFonts w:ascii="Arial" w:hAnsi="Arial" w:cs="Arial"/>
          <w:color w:val="000000" w:themeColor="text1"/>
          <w:szCs w:val="22"/>
        </w:rPr>
        <w:t>se regula la entrada en vigor</w:t>
      </w:r>
      <w:r>
        <w:rPr>
          <w:rFonts w:ascii="Arial" w:hAnsi="Arial" w:cs="Arial"/>
          <w:color w:val="000000" w:themeColor="text1"/>
          <w:szCs w:val="22"/>
        </w:rPr>
        <w:t>.</w:t>
      </w:r>
    </w:p>
    <w:p w14:paraId="50420DFD" w14:textId="77777777" w:rsidR="0094696D" w:rsidRPr="006E33F2" w:rsidRDefault="0094696D" w:rsidP="0094696D">
      <w:pPr>
        <w:spacing w:line="240" w:lineRule="auto"/>
        <w:rPr>
          <w:rFonts w:ascii="Arial" w:hAnsi="Arial" w:cs="Arial"/>
          <w:color w:val="000000" w:themeColor="text1"/>
          <w:szCs w:val="22"/>
        </w:rPr>
      </w:pPr>
      <w:r w:rsidRPr="00CE676F">
        <w:rPr>
          <w:rFonts w:ascii="Arial" w:eastAsia="Calibri" w:hAnsi="Arial" w:cs="Arial"/>
          <w:szCs w:val="22"/>
        </w:rPr>
        <w:lastRenderedPageBreak/>
        <w:t>Se ha llevado a cabo el trámite de audiencia e información públicas de acuerdo con el artículo 26.6 de la Ley 50/1997, de 27 de noviembre, del Gobierno y se ha exceptuado el trámite de consulta pública conforme el artículo 26.2 de la Ley 50/1997, de 27 de noviembre, dado que la presente norma regula un aspecto parcial de una materia, el desarrollo del apartado cuatro del artículo 11 de la Ley 19/2021, de 20 de diciembre.  Asimismo, entre otros, se ha recabado informe de la Oficina de Coordinación y Calidad Normativa (OCCN) previsto en el artículo 7 del Real Decreto 1081/2017, de 29 de diciembre, por el que se establece el régimen de funcionamiento de la OCCN.</w:t>
      </w:r>
    </w:p>
    <w:p w14:paraId="111F8226" w14:textId="77777777" w:rsidR="0094696D" w:rsidRPr="006E33F2" w:rsidRDefault="0094696D" w:rsidP="0094696D">
      <w:pPr>
        <w:spacing w:line="240" w:lineRule="auto"/>
        <w:rPr>
          <w:rFonts w:ascii="Arial" w:hAnsi="Arial" w:cs="Arial"/>
          <w:color w:val="000000" w:themeColor="text1"/>
          <w:szCs w:val="22"/>
        </w:rPr>
      </w:pPr>
      <w:r w:rsidRPr="006E33F2">
        <w:rPr>
          <w:rFonts w:ascii="Arial" w:hAnsi="Arial" w:cs="Arial"/>
          <w:color w:val="000000" w:themeColor="text1"/>
          <w:szCs w:val="22"/>
        </w:rPr>
        <w:t>La norma es coherente con los principios de buena regulación establecidos en el artículo 129 de la Ley 39/2015, de 1 de octubre, cumple con los principios de necesidad y eficacia, ya que responde a la necesidad de desarrollar reglamentariamente lo previsto en el artículo 11.4 de la Ley 19/2021, de 20 de diciembre, por la que se establece el ingreso mínimo vital, a fin de que se incentive el acceso y la permanencia en el mercado laboral de las personas beneficiarias del ingreso mínimo vital. Es acorde al principio de proporcionalidad, al ser el medio más adecuado para cumplir este objetivo y con el principio de seguridad jurídica, al quedar engarzado con el ordenamiento jurídico. Asimismo, cumple con el principio de transparencia habiendo sido sometido al trámite de información pública. Por último, es coherente con el principio de eficiencia ya que no afecta a las cargas administrativas y racionaliza, en su aplicación, la gestión de los recursos públicos.</w:t>
      </w:r>
    </w:p>
    <w:p w14:paraId="00D09A1D" w14:textId="77777777" w:rsidR="0094696D" w:rsidRPr="006E33F2" w:rsidRDefault="0094696D" w:rsidP="0094696D">
      <w:pPr>
        <w:spacing w:line="240" w:lineRule="auto"/>
        <w:rPr>
          <w:rFonts w:ascii="Arial" w:hAnsi="Arial" w:cs="Arial"/>
          <w:color w:val="000000" w:themeColor="text1"/>
          <w:szCs w:val="22"/>
        </w:rPr>
      </w:pPr>
      <w:r w:rsidRPr="004866E7">
        <w:rPr>
          <w:rFonts w:ascii="Arial" w:hAnsi="Arial" w:cs="Arial"/>
          <w:color w:val="000000" w:themeColor="text1"/>
          <w:szCs w:val="22"/>
        </w:rPr>
        <w:t>Este real decreto se dicta en el ejercicio de la habilitación conferida al efecto en el apartado 4 del artículo 11, y de acuerdo con la competencia en materia de</w:t>
      </w:r>
      <w:r>
        <w:rPr>
          <w:rFonts w:ascii="Arial" w:hAnsi="Arial" w:cs="Arial"/>
          <w:color w:val="000000" w:themeColor="text1"/>
          <w:szCs w:val="22"/>
        </w:rPr>
        <w:t xml:space="preserve"> l</w:t>
      </w:r>
      <w:r w:rsidRPr="00395E6D">
        <w:rPr>
          <w:rFonts w:ascii="Arial" w:hAnsi="Arial" w:cs="Arial"/>
          <w:color w:val="000000" w:themeColor="text1"/>
          <w:szCs w:val="22"/>
        </w:rPr>
        <w:t>egislación básica y régimen económico de la Seguridad Social</w:t>
      </w:r>
      <w:r>
        <w:rPr>
          <w:rFonts w:ascii="Arial" w:hAnsi="Arial" w:cs="Arial"/>
          <w:color w:val="000000" w:themeColor="text1"/>
          <w:szCs w:val="22"/>
        </w:rPr>
        <w:t xml:space="preserve"> y de</w:t>
      </w:r>
      <w:r w:rsidRPr="004866E7">
        <w:rPr>
          <w:rFonts w:ascii="Arial" w:hAnsi="Arial" w:cs="Arial"/>
          <w:color w:val="000000" w:themeColor="text1"/>
          <w:szCs w:val="22"/>
        </w:rPr>
        <w:t xml:space="preserve"> bases del régimen jurídico de las Administraciones Públicas, que el artículo 149.1.</w:t>
      </w:r>
      <w:r>
        <w:rPr>
          <w:rFonts w:ascii="Arial" w:hAnsi="Arial" w:cs="Arial"/>
          <w:color w:val="000000" w:themeColor="text1"/>
          <w:szCs w:val="22"/>
        </w:rPr>
        <w:t xml:space="preserve"> 17ª y</w:t>
      </w:r>
      <w:r w:rsidRPr="004866E7">
        <w:rPr>
          <w:rFonts w:ascii="Arial" w:hAnsi="Arial" w:cs="Arial"/>
          <w:color w:val="000000" w:themeColor="text1"/>
          <w:szCs w:val="22"/>
        </w:rPr>
        <w:t xml:space="preserve"> 18ª de la Constitución Española atribuye al Estado.</w:t>
      </w:r>
    </w:p>
    <w:p w14:paraId="5DB507C0" w14:textId="77777777" w:rsidR="0094696D" w:rsidRPr="006E33F2" w:rsidRDefault="0094696D" w:rsidP="0094696D">
      <w:pPr>
        <w:spacing w:line="240" w:lineRule="auto"/>
        <w:rPr>
          <w:rFonts w:ascii="Arial" w:hAnsi="Arial" w:cs="Arial"/>
          <w:color w:val="000000" w:themeColor="text1"/>
          <w:szCs w:val="22"/>
        </w:rPr>
      </w:pPr>
      <w:r w:rsidRPr="006E33F2">
        <w:rPr>
          <w:rFonts w:ascii="Arial" w:hAnsi="Arial" w:cs="Arial"/>
          <w:color w:val="000000" w:themeColor="text1"/>
          <w:szCs w:val="22"/>
        </w:rPr>
        <w:t xml:space="preserve">En su virtud, a propuesta del Ministro de Inclusión, Seguridad Social y Migraciones, con la aprobación previa de la Ministra de Hacienda y Función Pública, </w:t>
      </w:r>
      <w:r w:rsidRPr="006E33F2">
        <w:rPr>
          <w:rFonts w:ascii="Arial" w:hAnsi="Arial" w:cs="Arial"/>
          <w:color w:val="000000" w:themeColor="text1"/>
          <w:szCs w:val="22"/>
          <w:highlight w:val="yellow"/>
        </w:rPr>
        <w:t>de acuerdo con /oído</w:t>
      </w:r>
      <w:r w:rsidRPr="006E33F2">
        <w:rPr>
          <w:rFonts w:ascii="Arial" w:hAnsi="Arial" w:cs="Arial"/>
          <w:color w:val="000000" w:themeColor="text1"/>
          <w:szCs w:val="22"/>
        </w:rPr>
        <w:t xml:space="preserve"> el Consejo de Estado y previa deliberación del Consejo de Ministros en su reunión del día </w:t>
      </w:r>
      <w:r w:rsidRPr="006E33F2">
        <w:rPr>
          <w:rFonts w:ascii="Arial" w:hAnsi="Arial" w:cs="Arial"/>
          <w:color w:val="000000" w:themeColor="text1"/>
          <w:szCs w:val="22"/>
          <w:highlight w:val="yellow"/>
        </w:rPr>
        <w:t>…</w:t>
      </w:r>
    </w:p>
    <w:p w14:paraId="6BC30C36" w14:textId="77777777" w:rsidR="001B6040" w:rsidRPr="0094696D" w:rsidRDefault="001B6040" w:rsidP="001B6040">
      <w:pPr>
        <w:overflowPunct w:val="0"/>
        <w:autoSpaceDE w:val="0"/>
        <w:autoSpaceDN w:val="0"/>
        <w:adjustRightInd w:val="0"/>
        <w:spacing w:after="0" w:line="240" w:lineRule="auto"/>
        <w:textAlignment w:val="baseline"/>
        <w:rPr>
          <w:rFonts w:ascii="Arial" w:hAnsi="Arial" w:cs="Arial"/>
          <w:color w:val="000000"/>
          <w:szCs w:val="22"/>
        </w:rPr>
      </w:pPr>
    </w:p>
    <w:p w14:paraId="34B86C67" w14:textId="77777777" w:rsidR="001B6040" w:rsidRPr="001B6040" w:rsidRDefault="001B6040" w:rsidP="001B6040">
      <w:pPr>
        <w:overflowPunct w:val="0"/>
        <w:autoSpaceDE w:val="0"/>
        <w:autoSpaceDN w:val="0"/>
        <w:adjustRightInd w:val="0"/>
        <w:spacing w:after="0" w:line="240" w:lineRule="auto"/>
        <w:jc w:val="center"/>
        <w:textAlignment w:val="baseline"/>
        <w:rPr>
          <w:rFonts w:ascii="Arial" w:hAnsi="Arial" w:cs="Arial"/>
          <w:color w:val="000000"/>
          <w:szCs w:val="22"/>
          <w:lang w:val="es-ES_tradnl"/>
        </w:rPr>
      </w:pPr>
      <w:r w:rsidRPr="001B6040">
        <w:rPr>
          <w:rFonts w:ascii="Arial" w:hAnsi="Arial" w:cs="Arial"/>
          <w:color w:val="000000"/>
          <w:szCs w:val="22"/>
          <w:lang w:val="es-ES_tradnl"/>
        </w:rPr>
        <w:t>DISPONGO:</w:t>
      </w:r>
    </w:p>
    <w:p w14:paraId="22237DC4" w14:textId="77777777" w:rsidR="001B6040" w:rsidRPr="001B6040" w:rsidRDefault="001B6040" w:rsidP="001B6040">
      <w:pPr>
        <w:overflowPunct w:val="0"/>
        <w:autoSpaceDE w:val="0"/>
        <w:autoSpaceDN w:val="0"/>
        <w:adjustRightInd w:val="0"/>
        <w:spacing w:after="0" w:line="240" w:lineRule="auto"/>
        <w:textAlignment w:val="baseline"/>
        <w:rPr>
          <w:rFonts w:ascii="Arial" w:hAnsi="Arial" w:cs="Arial"/>
          <w:color w:val="000000"/>
          <w:szCs w:val="22"/>
          <w:lang w:val="es-ES_tradnl"/>
        </w:rPr>
      </w:pPr>
    </w:p>
    <w:p w14:paraId="5452BD27" w14:textId="724227ED" w:rsidR="001B6040" w:rsidRPr="00261040" w:rsidRDefault="001B6040" w:rsidP="00F63177">
      <w:pPr>
        <w:spacing w:after="0" w:line="240" w:lineRule="auto"/>
        <w:rPr>
          <w:rFonts w:ascii="Arial" w:hAnsi="Arial" w:cs="Arial"/>
          <w:b/>
          <w:i/>
          <w:iCs/>
          <w:szCs w:val="22"/>
          <w:lang w:val="es-ES_tradnl"/>
        </w:rPr>
      </w:pPr>
      <w:r w:rsidRPr="00261040">
        <w:rPr>
          <w:rFonts w:ascii="Arial" w:hAnsi="Arial" w:cs="Arial"/>
          <w:b/>
          <w:i/>
          <w:iCs/>
          <w:szCs w:val="22"/>
          <w:lang w:val="es-ES_tradnl"/>
        </w:rPr>
        <w:t xml:space="preserve">Artículo 1. Objeto </w:t>
      </w:r>
    </w:p>
    <w:p w14:paraId="6F029778" w14:textId="77777777" w:rsidR="00D8103E" w:rsidRPr="001B4E07" w:rsidRDefault="00D8103E" w:rsidP="00F63177">
      <w:pPr>
        <w:spacing w:after="0" w:line="240" w:lineRule="auto"/>
        <w:rPr>
          <w:rFonts w:ascii="Arial" w:hAnsi="Arial" w:cs="Arial"/>
          <w:b/>
          <w:szCs w:val="22"/>
          <w:lang w:val="es-ES_tradnl"/>
        </w:rPr>
      </w:pPr>
    </w:p>
    <w:p w14:paraId="70F9F303" w14:textId="457219F2" w:rsidR="001B6040" w:rsidRPr="001B4E07" w:rsidRDefault="00376D5C" w:rsidP="00F63177">
      <w:pPr>
        <w:spacing w:after="0" w:line="240" w:lineRule="auto"/>
        <w:rPr>
          <w:rFonts w:ascii="Arial" w:hAnsi="Arial" w:cs="Arial"/>
          <w:bCs/>
          <w:szCs w:val="22"/>
          <w:lang w:val="es-ES_tradnl"/>
        </w:rPr>
      </w:pPr>
      <w:r w:rsidRPr="001B4E07">
        <w:rPr>
          <w:rFonts w:ascii="Arial" w:hAnsi="Arial" w:cs="Arial"/>
          <w:bCs/>
          <w:szCs w:val="22"/>
          <w:lang w:val="es-ES_tradnl"/>
        </w:rPr>
        <w:t xml:space="preserve">1. </w:t>
      </w:r>
      <w:r w:rsidR="001B6040" w:rsidRPr="001B4E07">
        <w:rPr>
          <w:rFonts w:ascii="Arial" w:hAnsi="Arial" w:cs="Arial"/>
          <w:bCs/>
          <w:szCs w:val="22"/>
          <w:lang w:val="es-ES_tradnl"/>
        </w:rPr>
        <w:t>Constituye el objeto de este real decreto la regulación de la compatibilidad de la percepción del ingreso mínimo vital con los incrementos de ingresos procedentes de rentas de trabajo o de la actividad económica por cuenta propia con el fin de que su percepción no desincentive la participación en el mercado laboral. de acuerdo con lo dispuesto en el artículo 11.4 de la Ley 19/2021, de 20 de diciembre, por la que se establece el ingreso mínimo vital</w:t>
      </w:r>
      <w:r w:rsidR="001773AB" w:rsidRPr="001B4E07">
        <w:rPr>
          <w:rFonts w:ascii="Arial" w:hAnsi="Arial" w:cs="Arial"/>
          <w:bCs/>
          <w:szCs w:val="22"/>
          <w:lang w:val="es-ES_tradnl"/>
        </w:rPr>
        <w:t>.</w:t>
      </w:r>
    </w:p>
    <w:p w14:paraId="7783F34F" w14:textId="77777777" w:rsidR="00D8103E" w:rsidRPr="001B4E07" w:rsidRDefault="00D8103E" w:rsidP="00F63177">
      <w:pPr>
        <w:spacing w:after="0" w:line="240" w:lineRule="auto"/>
        <w:rPr>
          <w:rFonts w:ascii="Arial" w:hAnsi="Arial" w:cs="Arial"/>
          <w:b/>
          <w:szCs w:val="22"/>
          <w:lang w:val="es-ES_tradnl"/>
        </w:rPr>
      </w:pPr>
    </w:p>
    <w:p w14:paraId="226B6532" w14:textId="170BF824" w:rsidR="001773AB" w:rsidRPr="001B4E07" w:rsidRDefault="00376D5C" w:rsidP="00F63177">
      <w:pPr>
        <w:spacing w:after="0" w:line="240" w:lineRule="auto"/>
        <w:rPr>
          <w:rFonts w:ascii="Arial" w:hAnsi="Arial" w:cs="Arial"/>
          <w:bCs/>
          <w:szCs w:val="22"/>
          <w:lang w:val="es-ES_tradnl"/>
        </w:rPr>
      </w:pPr>
      <w:r w:rsidRPr="001B4E07">
        <w:rPr>
          <w:rFonts w:ascii="Arial" w:hAnsi="Arial" w:cs="Arial"/>
          <w:bCs/>
          <w:szCs w:val="22"/>
          <w:lang w:val="es-ES_tradnl"/>
        </w:rPr>
        <w:t xml:space="preserve">2. La compatibilidad a que se refiere este artículo </w:t>
      </w:r>
      <w:r w:rsidR="004E1662" w:rsidRPr="001B4E07">
        <w:rPr>
          <w:rFonts w:ascii="Arial" w:hAnsi="Arial" w:cs="Arial"/>
          <w:bCs/>
          <w:szCs w:val="22"/>
          <w:lang w:val="es-ES_tradnl"/>
        </w:rPr>
        <w:t xml:space="preserve">consistirá en la aplicación de un </w:t>
      </w:r>
      <w:r w:rsidR="0065302C" w:rsidRPr="001B4E07">
        <w:rPr>
          <w:rFonts w:ascii="Arial" w:hAnsi="Arial" w:cs="Arial"/>
          <w:bCs/>
          <w:szCs w:val="22"/>
          <w:lang w:val="es-ES_tradnl"/>
        </w:rPr>
        <w:t xml:space="preserve">importe exento </w:t>
      </w:r>
      <w:r w:rsidR="001F383F" w:rsidRPr="001B4E07">
        <w:rPr>
          <w:rFonts w:ascii="Arial" w:hAnsi="Arial" w:cs="Arial"/>
          <w:bCs/>
          <w:szCs w:val="22"/>
          <w:lang w:val="es-ES_tradnl"/>
        </w:rPr>
        <w:t>d</w:t>
      </w:r>
      <w:r w:rsidR="0065302C" w:rsidRPr="001B4E07">
        <w:rPr>
          <w:rFonts w:ascii="Arial" w:hAnsi="Arial" w:cs="Arial"/>
          <w:bCs/>
          <w:szCs w:val="22"/>
          <w:lang w:val="es-ES_tradnl"/>
        </w:rPr>
        <w:t xml:space="preserve">el cómputo de </w:t>
      </w:r>
      <w:r w:rsidR="001F383F" w:rsidRPr="001B4E07">
        <w:rPr>
          <w:rFonts w:ascii="Arial" w:hAnsi="Arial" w:cs="Arial"/>
          <w:bCs/>
          <w:szCs w:val="22"/>
          <w:lang w:val="es-ES_tradnl"/>
        </w:rPr>
        <w:t xml:space="preserve">los </w:t>
      </w:r>
      <w:r w:rsidR="0065302C" w:rsidRPr="001B4E07">
        <w:rPr>
          <w:rFonts w:ascii="Arial" w:hAnsi="Arial" w:cs="Arial"/>
          <w:bCs/>
          <w:szCs w:val="22"/>
          <w:lang w:val="es-ES_tradnl"/>
        </w:rPr>
        <w:t xml:space="preserve">ingresos y rentas </w:t>
      </w:r>
      <w:r w:rsidR="001F383F" w:rsidRPr="001B4E07">
        <w:rPr>
          <w:rFonts w:ascii="Arial" w:hAnsi="Arial" w:cs="Arial"/>
          <w:bCs/>
          <w:szCs w:val="22"/>
          <w:lang w:val="es-ES_tradnl"/>
        </w:rPr>
        <w:t xml:space="preserve">que se </w:t>
      </w:r>
      <w:r w:rsidR="005C73F5" w:rsidRPr="001B4E07">
        <w:rPr>
          <w:rFonts w:ascii="Arial" w:hAnsi="Arial" w:cs="Arial"/>
          <w:bCs/>
          <w:szCs w:val="22"/>
          <w:lang w:val="es-ES_tradnl"/>
        </w:rPr>
        <w:t xml:space="preserve">hayan de </w:t>
      </w:r>
      <w:r w:rsidR="001F383F" w:rsidRPr="001B4E07">
        <w:rPr>
          <w:rFonts w:ascii="Arial" w:hAnsi="Arial" w:cs="Arial"/>
          <w:bCs/>
          <w:szCs w:val="22"/>
          <w:lang w:val="es-ES_tradnl"/>
        </w:rPr>
        <w:t>tom</w:t>
      </w:r>
      <w:r w:rsidR="005C73F5" w:rsidRPr="001B4E07">
        <w:rPr>
          <w:rFonts w:ascii="Arial" w:hAnsi="Arial" w:cs="Arial"/>
          <w:bCs/>
          <w:szCs w:val="22"/>
          <w:lang w:val="es-ES_tradnl"/>
        </w:rPr>
        <w:t>ar</w:t>
      </w:r>
      <w:r w:rsidR="001F383F" w:rsidRPr="001B4E07">
        <w:rPr>
          <w:rFonts w:ascii="Arial" w:hAnsi="Arial" w:cs="Arial"/>
          <w:bCs/>
          <w:szCs w:val="22"/>
          <w:lang w:val="es-ES_tradnl"/>
        </w:rPr>
        <w:t xml:space="preserve"> en consideración para la </w:t>
      </w:r>
      <w:r w:rsidR="0065302C" w:rsidRPr="001B4E07">
        <w:rPr>
          <w:rFonts w:ascii="Arial" w:hAnsi="Arial" w:cs="Arial"/>
          <w:bCs/>
          <w:szCs w:val="22"/>
          <w:lang w:val="es-ES_tradnl"/>
        </w:rPr>
        <w:t>determin</w:t>
      </w:r>
      <w:r w:rsidR="001F383F" w:rsidRPr="001B4E07">
        <w:rPr>
          <w:rFonts w:ascii="Arial" w:hAnsi="Arial" w:cs="Arial"/>
          <w:bCs/>
          <w:szCs w:val="22"/>
          <w:lang w:val="es-ES_tradnl"/>
        </w:rPr>
        <w:t xml:space="preserve">ación de </w:t>
      </w:r>
      <w:r w:rsidR="0065302C" w:rsidRPr="001B4E07">
        <w:rPr>
          <w:rFonts w:ascii="Arial" w:hAnsi="Arial" w:cs="Arial"/>
          <w:bCs/>
          <w:szCs w:val="22"/>
          <w:lang w:val="es-ES_tradnl"/>
        </w:rPr>
        <w:t>la vulnerabilidad económica</w:t>
      </w:r>
      <w:r w:rsidR="001F383F" w:rsidRPr="001B4E07">
        <w:rPr>
          <w:rFonts w:ascii="Arial" w:hAnsi="Arial" w:cs="Arial"/>
          <w:bCs/>
          <w:szCs w:val="22"/>
          <w:lang w:val="es-ES_tradnl"/>
        </w:rPr>
        <w:t xml:space="preserve"> del beneficiario o, en su caso, de la unidad de convivencia. Dicho importe vendrá determinado por la </w:t>
      </w:r>
      <w:r w:rsidR="001F383F" w:rsidRPr="001B4E07">
        <w:rPr>
          <w:rFonts w:ascii="Arial" w:hAnsi="Arial" w:cs="Arial"/>
          <w:bCs/>
          <w:szCs w:val="22"/>
          <w:lang w:val="es-ES_tradnl"/>
        </w:rPr>
        <w:lastRenderedPageBreak/>
        <w:t xml:space="preserve">aplicación de los porcentajes establecidos en el artículo 4 </w:t>
      </w:r>
      <w:r w:rsidR="004E1662" w:rsidRPr="001B4E07">
        <w:rPr>
          <w:rFonts w:ascii="Arial" w:hAnsi="Arial" w:cs="Arial"/>
          <w:bCs/>
          <w:szCs w:val="22"/>
          <w:lang w:val="es-ES_tradnl"/>
        </w:rPr>
        <w:t>sobre la diferencia de las rentas del trabajo o de la actividad económica por cuenta propia que se hayan obtenido en los dos ejercicios fiscales previos a la revisión del derecho en los términos previstos en este real decreto.</w:t>
      </w:r>
    </w:p>
    <w:p w14:paraId="2E78F56E" w14:textId="37564C35" w:rsidR="00D8103E" w:rsidRPr="001B4E07" w:rsidRDefault="00D8103E" w:rsidP="00F63177">
      <w:pPr>
        <w:spacing w:after="0" w:line="240" w:lineRule="auto"/>
        <w:rPr>
          <w:rFonts w:ascii="Arial" w:hAnsi="Arial" w:cs="Arial"/>
          <w:bCs/>
          <w:szCs w:val="22"/>
          <w:lang w:val="es-ES_tradnl"/>
        </w:rPr>
      </w:pPr>
    </w:p>
    <w:p w14:paraId="655BA3DB" w14:textId="2E2F51A4" w:rsidR="00F50D80" w:rsidRDefault="00F50D80" w:rsidP="00F63177">
      <w:pPr>
        <w:spacing w:after="0" w:line="240" w:lineRule="auto"/>
        <w:rPr>
          <w:rFonts w:ascii="Arial" w:hAnsi="Arial" w:cs="Arial"/>
          <w:bCs/>
          <w:szCs w:val="22"/>
        </w:rPr>
      </w:pPr>
      <w:r w:rsidRPr="001B4E07">
        <w:rPr>
          <w:rFonts w:ascii="Arial" w:hAnsi="Arial" w:cs="Arial"/>
          <w:bCs/>
          <w:szCs w:val="22"/>
          <w:lang w:val="es-ES_tradnl"/>
        </w:rPr>
        <w:t xml:space="preserve">La aplicación de lo previsto en el presente real decreto determinará que se mantenga el derecho a la percepción del ingreso mínimo vital en la cuantía resultante de aplicar </w:t>
      </w:r>
      <w:r w:rsidRPr="001B4E07">
        <w:rPr>
          <w:rFonts w:ascii="Arial" w:hAnsi="Arial" w:cs="Arial"/>
          <w:bCs/>
          <w:szCs w:val="22"/>
        </w:rPr>
        <w:t xml:space="preserve">lo previsto en el artículo 13.2., apartados a), b), c) y d) de la Ley 19/2021, de 20 de diciembre, sin perjuicio de que a dicha cuantía se sume el complemento de ayuda a la infancia si se tratara de unidades de convivencia que incluyan menores de edad entre sus miembros. </w:t>
      </w:r>
    </w:p>
    <w:p w14:paraId="685BCDD4" w14:textId="24F42246" w:rsidR="0094696D" w:rsidRDefault="0094696D" w:rsidP="00F63177">
      <w:pPr>
        <w:spacing w:after="0" w:line="240" w:lineRule="auto"/>
        <w:rPr>
          <w:rFonts w:ascii="Arial" w:hAnsi="Arial" w:cs="Arial"/>
          <w:bCs/>
          <w:szCs w:val="22"/>
        </w:rPr>
      </w:pPr>
    </w:p>
    <w:p w14:paraId="02B875A1" w14:textId="73DB0D90" w:rsidR="0094696D" w:rsidRPr="0094696D" w:rsidRDefault="0094696D" w:rsidP="0094696D">
      <w:pPr>
        <w:spacing w:after="0" w:line="240" w:lineRule="auto"/>
        <w:rPr>
          <w:rFonts w:ascii="Arial" w:hAnsi="Arial" w:cs="Arial"/>
          <w:bCs/>
          <w:szCs w:val="22"/>
          <w:lang w:val="es-ES_tradnl"/>
        </w:rPr>
      </w:pPr>
      <w:r w:rsidRPr="0094696D">
        <w:rPr>
          <w:rFonts w:ascii="Arial" w:hAnsi="Arial" w:cs="Arial"/>
          <w:bCs/>
          <w:szCs w:val="22"/>
          <w:lang w:val="es-ES_tradnl"/>
        </w:rPr>
        <w:t>3. El presente real decreto contribuye a la ejecución del componente 22 reforma 5 del Plan de Recuperación, Transformación y Resiliencia. El Sello se regirá por el Reglamento (UE) número 2021/241 del Parlamento Europeo y del Consejo, de 12 de febrero de 2021, por el que se establece el Mecanismo de Recuperación y Resiliencia. En concreto, resultan aplicables los principios horizontales del artículo 5, entre los que se encuentra el principio de “no causar daño significativo”, y el principio de adicionalidad de la financiación de la Unión del artículo 9, del citado Reglamento, así como la adopción de medidas dirigidas a prevenir, detectar, comunicar y corregir el fraude y la corrupción, prevenir el conflicto de interés y la doble financiación.</w:t>
      </w:r>
    </w:p>
    <w:p w14:paraId="7985570F" w14:textId="77777777" w:rsidR="0094696D" w:rsidRPr="0094696D" w:rsidRDefault="0094696D" w:rsidP="0094696D">
      <w:pPr>
        <w:spacing w:after="0" w:line="240" w:lineRule="auto"/>
        <w:rPr>
          <w:rFonts w:ascii="Arial" w:hAnsi="Arial" w:cs="Arial"/>
          <w:bCs/>
          <w:szCs w:val="22"/>
          <w:lang w:val="es-ES_tradnl"/>
        </w:rPr>
      </w:pPr>
    </w:p>
    <w:p w14:paraId="0B69D5C9" w14:textId="77777777" w:rsidR="0094696D" w:rsidRPr="0094696D" w:rsidRDefault="0094696D" w:rsidP="0094696D">
      <w:pPr>
        <w:spacing w:after="0" w:line="240" w:lineRule="auto"/>
        <w:rPr>
          <w:rFonts w:ascii="Arial" w:hAnsi="Arial" w:cs="Arial"/>
          <w:bCs/>
          <w:szCs w:val="22"/>
          <w:lang w:val="es-ES_tradnl"/>
        </w:rPr>
      </w:pPr>
      <w:r w:rsidRPr="0094696D">
        <w:rPr>
          <w:rFonts w:ascii="Arial" w:hAnsi="Arial" w:cs="Arial"/>
          <w:bCs/>
          <w:szCs w:val="22"/>
          <w:lang w:val="es-ES_tradnl"/>
        </w:rPr>
        <w:t>Asimismo, resulta de aplicación la Orden HFP/1030/2021, de 29 de septiembre, por la que se configura el sistema de gestión del Plan de Recuperación, Transformación y Resiliencia y la Orden HFP/1031/2021, de 29 de septiembre, por la que se establece el procedimiento y formato de la información a proporcionar por las Entidades del Sector Público Estatal, Autonómico y Local para el seguimiento del cumplimiento de hitos y objetivos y de ejecución presupuestaria y contable de las medidas de los componentes del Plan de Recuperación, Transformación y Resiliencia.</w:t>
      </w:r>
    </w:p>
    <w:p w14:paraId="44D38C41" w14:textId="77777777" w:rsidR="0094696D" w:rsidRPr="0094696D" w:rsidRDefault="0094696D" w:rsidP="00F63177">
      <w:pPr>
        <w:spacing w:after="0" w:line="240" w:lineRule="auto"/>
        <w:rPr>
          <w:rFonts w:ascii="Arial" w:hAnsi="Arial" w:cs="Arial"/>
          <w:bCs/>
          <w:szCs w:val="22"/>
          <w:lang w:val="es-ES_tradnl"/>
        </w:rPr>
      </w:pPr>
    </w:p>
    <w:p w14:paraId="04B66C0B" w14:textId="77777777" w:rsidR="00F50D80" w:rsidRPr="001B4E07" w:rsidRDefault="00F50D80" w:rsidP="00F63177">
      <w:pPr>
        <w:spacing w:after="0" w:line="240" w:lineRule="auto"/>
        <w:rPr>
          <w:rFonts w:ascii="Arial" w:hAnsi="Arial" w:cs="Arial"/>
          <w:bCs/>
          <w:szCs w:val="22"/>
          <w:lang w:val="es-ES_tradnl"/>
        </w:rPr>
      </w:pPr>
    </w:p>
    <w:p w14:paraId="5858E83B" w14:textId="77777777" w:rsidR="0070572F" w:rsidRPr="001B4E07" w:rsidRDefault="0070572F" w:rsidP="00F63177">
      <w:pPr>
        <w:spacing w:after="0" w:line="240" w:lineRule="auto"/>
        <w:rPr>
          <w:rFonts w:ascii="Arial" w:hAnsi="Arial" w:cs="Arial"/>
          <w:bCs/>
          <w:szCs w:val="22"/>
          <w:lang w:val="es-ES_tradnl"/>
        </w:rPr>
      </w:pPr>
    </w:p>
    <w:p w14:paraId="6686E4B3" w14:textId="2EA645AC" w:rsidR="001773AB" w:rsidRPr="00261040" w:rsidRDefault="001773AB" w:rsidP="00F63177">
      <w:pPr>
        <w:spacing w:after="0" w:line="240" w:lineRule="auto"/>
        <w:rPr>
          <w:rFonts w:ascii="Arial" w:hAnsi="Arial" w:cs="Arial"/>
          <w:b/>
          <w:i/>
          <w:iCs/>
          <w:szCs w:val="22"/>
          <w:lang w:val="es-ES_tradnl"/>
        </w:rPr>
      </w:pPr>
      <w:r w:rsidRPr="00261040">
        <w:rPr>
          <w:rFonts w:ascii="Arial" w:hAnsi="Arial" w:cs="Arial"/>
          <w:b/>
          <w:i/>
          <w:iCs/>
          <w:szCs w:val="22"/>
          <w:lang w:val="es-ES_tradnl"/>
        </w:rPr>
        <w:t xml:space="preserve">Artículo </w:t>
      </w:r>
      <w:r w:rsidR="00536E29" w:rsidRPr="00261040">
        <w:rPr>
          <w:rFonts w:ascii="Arial" w:hAnsi="Arial" w:cs="Arial"/>
          <w:b/>
          <w:i/>
          <w:iCs/>
          <w:szCs w:val="22"/>
          <w:lang w:val="es-ES_tradnl"/>
        </w:rPr>
        <w:t>2</w:t>
      </w:r>
      <w:r w:rsidRPr="00261040">
        <w:rPr>
          <w:rFonts w:ascii="Arial" w:hAnsi="Arial" w:cs="Arial"/>
          <w:b/>
          <w:i/>
          <w:iCs/>
          <w:szCs w:val="22"/>
          <w:lang w:val="es-ES_tradnl"/>
        </w:rPr>
        <w:t xml:space="preserve">. </w:t>
      </w:r>
      <w:r w:rsidR="008021AA" w:rsidRPr="00261040">
        <w:rPr>
          <w:rFonts w:ascii="Arial" w:hAnsi="Arial" w:cs="Arial"/>
          <w:b/>
          <w:i/>
          <w:iCs/>
          <w:szCs w:val="22"/>
          <w:lang w:val="es-ES_tradnl"/>
        </w:rPr>
        <w:t>Personas beneficiarias.</w:t>
      </w:r>
    </w:p>
    <w:p w14:paraId="63F76BE5" w14:textId="77777777" w:rsidR="00D8103E" w:rsidRPr="001B4E07" w:rsidRDefault="00D8103E" w:rsidP="00F63177">
      <w:pPr>
        <w:spacing w:after="0" w:line="240" w:lineRule="auto"/>
        <w:rPr>
          <w:rFonts w:ascii="Arial" w:hAnsi="Arial" w:cs="Arial"/>
          <w:b/>
          <w:szCs w:val="22"/>
          <w:lang w:val="es-ES_tradnl"/>
        </w:rPr>
      </w:pPr>
    </w:p>
    <w:p w14:paraId="363AA788" w14:textId="77777777" w:rsidR="005857A0" w:rsidRPr="001B4E07" w:rsidRDefault="00D8103E" w:rsidP="00F63177">
      <w:pPr>
        <w:spacing w:after="0" w:line="240" w:lineRule="auto"/>
        <w:rPr>
          <w:rFonts w:ascii="Arial" w:hAnsi="Arial" w:cs="Arial"/>
          <w:bCs/>
          <w:szCs w:val="22"/>
          <w:lang w:val="es-ES_tradnl"/>
        </w:rPr>
      </w:pPr>
      <w:r w:rsidRPr="001B4E07">
        <w:rPr>
          <w:rFonts w:ascii="Arial" w:hAnsi="Arial" w:cs="Arial"/>
          <w:bCs/>
          <w:szCs w:val="22"/>
          <w:lang w:val="es-ES_tradnl"/>
        </w:rPr>
        <w:t xml:space="preserve">1. </w:t>
      </w:r>
      <w:r w:rsidR="005D0F3A" w:rsidRPr="001B4E07">
        <w:rPr>
          <w:rFonts w:ascii="Arial" w:hAnsi="Arial" w:cs="Arial"/>
          <w:bCs/>
          <w:szCs w:val="22"/>
          <w:lang w:val="es-ES_tradnl"/>
        </w:rPr>
        <w:t xml:space="preserve">La compatibilidad prevista en este real decreto se aplicará </w:t>
      </w:r>
      <w:r w:rsidR="004E1662" w:rsidRPr="001B4E07">
        <w:rPr>
          <w:rFonts w:ascii="Arial" w:hAnsi="Arial" w:cs="Arial"/>
          <w:bCs/>
          <w:szCs w:val="22"/>
          <w:lang w:val="es-ES_tradnl"/>
        </w:rPr>
        <w:t>a los supuestos de</w:t>
      </w:r>
      <w:r w:rsidR="005D0F3A" w:rsidRPr="001B4E07">
        <w:rPr>
          <w:rFonts w:ascii="Arial" w:hAnsi="Arial" w:cs="Arial"/>
          <w:bCs/>
          <w:szCs w:val="22"/>
          <w:lang w:val="es-ES_tradnl"/>
        </w:rPr>
        <w:t xml:space="preserve"> persona</w:t>
      </w:r>
      <w:r w:rsidR="004E1662" w:rsidRPr="001B4E07">
        <w:rPr>
          <w:rFonts w:ascii="Arial" w:hAnsi="Arial" w:cs="Arial"/>
          <w:bCs/>
          <w:szCs w:val="22"/>
          <w:lang w:val="es-ES_tradnl"/>
        </w:rPr>
        <w:t>s</w:t>
      </w:r>
      <w:r w:rsidR="005D0F3A" w:rsidRPr="001B4E07">
        <w:rPr>
          <w:rFonts w:ascii="Arial" w:hAnsi="Arial" w:cs="Arial"/>
          <w:bCs/>
          <w:szCs w:val="22"/>
          <w:lang w:val="es-ES_tradnl"/>
        </w:rPr>
        <w:t xml:space="preserve"> beneficiaria</w:t>
      </w:r>
      <w:r w:rsidR="004E1662" w:rsidRPr="001B4E07">
        <w:rPr>
          <w:rFonts w:ascii="Arial" w:hAnsi="Arial" w:cs="Arial"/>
          <w:bCs/>
          <w:szCs w:val="22"/>
          <w:lang w:val="es-ES_tradnl"/>
        </w:rPr>
        <w:t>s</w:t>
      </w:r>
      <w:r w:rsidR="005D0F3A" w:rsidRPr="001B4E07">
        <w:rPr>
          <w:rFonts w:ascii="Arial" w:hAnsi="Arial" w:cs="Arial"/>
          <w:bCs/>
          <w:szCs w:val="22"/>
          <w:lang w:val="es-ES_tradnl"/>
        </w:rPr>
        <w:t xml:space="preserve"> individual</w:t>
      </w:r>
      <w:r w:rsidR="004E1662" w:rsidRPr="001B4E07">
        <w:rPr>
          <w:rFonts w:ascii="Arial" w:hAnsi="Arial" w:cs="Arial"/>
          <w:bCs/>
          <w:szCs w:val="22"/>
          <w:lang w:val="es-ES_tradnl"/>
        </w:rPr>
        <w:t>es</w:t>
      </w:r>
      <w:r w:rsidR="005D0F3A" w:rsidRPr="001B4E07">
        <w:rPr>
          <w:rFonts w:ascii="Arial" w:hAnsi="Arial" w:cs="Arial"/>
          <w:bCs/>
          <w:szCs w:val="22"/>
          <w:lang w:val="es-ES_tradnl"/>
        </w:rPr>
        <w:t xml:space="preserve"> del ingreso mínimo vital o a </w:t>
      </w:r>
      <w:r w:rsidR="004E1662" w:rsidRPr="001B4E07">
        <w:rPr>
          <w:rFonts w:ascii="Arial" w:hAnsi="Arial" w:cs="Arial"/>
          <w:bCs/>
          <w:szCs w:val="22"/>
          <w:lang w:val="es-ES_tradnl"/>
        </w:rPr>
        <w:t>los supuestos de</w:t>
      </w:r>
      <w:r w:rsidR="005D0F3A" w:rsidRPr="001B4E07">
        <w:rPr>
          <w:rFonts w:ascii="Arial" w:hAnsi="Arial" w:cs="Arial"/>
          <w:bCs/>
          <w:szCs w:val="22"/>
          <w:lang w:val="es-ES_tradnl"/>
        </w:rPr>
        <w:t xml:space="preserve"> personas </w:t>
      </w:r>
      <w:r w:rsidR="004E1662" w:rsidRPr="001B4E07">
        <w:rPr>
          <w:rFonts w:ascii="Arial" w:hAnsi="Arial" w:cs="Arial"/>
          <w:bCs/>
          <w:szCs w:val="22"/>
          <w:lang w:val="es-ES_tradnl"/>
        </w:rPr>
        <w:t>integrantes</w:t>
      </w:r>
      <w:r w:rsidR="005D0F3A" w:rsidRPr="001B4E07">
        <w:rPr>
          <w:rFonts w:ascii="Arial" w:hAnsi="Arial" w:cs="Arial"/>
          <w:bCs/>
          <w:szCs w:val="22"/>
          <w:lang w:val="es-ES_tradnl"/>
        </w:rPr>
        <w:t xml:space="preserve"> </w:t>
      </w:r>
      <w:r w:rsidR="004E1662" w:rsidRPr="001B4E07">
        <w:rPr>
          <w:rFonts w:ascii="Arial" w:hAnsi="Arial" w:cs="Arial"/>
          <w:bCs/>
          <w:szCs w:val="22"/>
          <w:lang w:val="es-ES_tradnl"/>
        </w:rPr>
        <w:t>de la</w:t>
      </w:r>
      <w:r w:rsidR="005D0F3A" w:rsidRPr="001B4E07">
        <w:rPr>
          <w:rFonts w:ascii="Arial" w:hAnsi="Arial" w:cs="Arial"/>
          <w:bCs/>
          <w:szCs w:val="22"/>
          <w:lang w:val="es-ES_tradnl"/>
        </w:rPr>
        <w:t xml:space="preserve"> unidad de convivencia que incrementen sus ingresos procedentes del trabajo  o los rendimientos netos de la actividad económica por cuenta propia respecto del año que se tuvo en cuenta para el cómputo de sus ingresos de acuerdo con lo previsto en los artículos 11 y 20 de la Ley 19/2021, de 20 de diciembre</w:t>
      </w:r>
      <w:r w:rsidR="004E1662" w:rsidRPr="001B4E07">
        <w:rPr>
          <w:rFonts w:ascii="Arial" w:hAnsi="Arial" w:cs="Arial"/>
          <w:bCs/>
          <w:szCs w:val="22"/>
          <w:lang w:val="es-ES_tradnl"/>
        </w:rPr>
        <w:t>, siempre que las personas hayan sido beneficiarias del ingreso mínimo vital en el año anterior a la aplicación de la revisión y el 1 de enero del ejercicio en el que se vaya a realizar la revisión se mantenga el derecho a la percepción del ingreso mínimo vital</w:t>
      </w:r>
      <w:r w:rsidR="005857A0" w:rsidRPr="001B4E07">
        <w:rPr>
          <w:rFonts w:ascii="Arial" w:hAnsi="Arial" w:cs="Arial"/>
          <w:bCs/>
          <w:szCs w:val="22"/>
          <w:lang w:val="es-ES_tradnl"/>
        </w:rPr>
        <w:t>.</w:t>
      </w:r>
    </w:p>
    <w:p w14:paraId="1949E391" w14:textId="592687F5" w:rsidR="005857A0" w:rsidRPr="001B4E07" w:rsidRDefault="004E1662" w:rsidP="00F63177">
      <w:pPr>
        <w:spacing w:after="0" w:line="240" w:lineRule="auto"/>
        <w:rPr>
          <w:rFonts w:ascii="Arial" w:hAnsi="Arial" w:cs="Arial"/>
          <w:bCs/>
          <w:szCs w:val="22"/>
          <w:lang w:val="es-ES_tradnl"/>
        </w:rPr>
      </w:pPr>
      <w:r w:rsidRPr="001B4E07">
        <w:rPr>
          <w:rFonts w:ascii="Arial" w:hAnsi="Arial" w:cs="Arial"/>
          <w:bCs/>
          <w:szCs w:val="22"/>
          <w:lang w:val="es-ES_tradnl"/>
        </w:rPr>
        <w:t xml:space="preserve"> </w:t>
      </w:r>
    </w:p>
    <w:p w14:paraId="4182AC14" w14:textId="77777777" w:rsidR="00F762A2" w:rsidRPr="001B4E07" w:rsidRDefault="00F762A2" w:rsidP="00F63177">
      <w:pPr>
        <w:spacing w:after="0" w:line="240" w:lineRule="auto"/>
        <w:rPr>
          <w:rFonts w:ascii="Arial" w:hAnsi="Arial" w:cs="Arial"/>
          <w:bCs/>
          <w:szCs w:val="22"/>
          <w:lang w:val="es-ES_tradnl"/>
        </w:rPr>
      </w:pPr>
    </w:p>
    <w:p w14:paraId="3985A1FF" w14:textId="78FE2179" w:rsidR="00D11BF6" w:rsidRPr="001B4E07" w:rsidRDefault="00D8103E" w:rsidP="00F63177">
      <w:pPr>
        <w:spacing w:after="0" w:line="240" w:lineRule="auto"/>
        <w:rPr>
          <w:rFonts w:ascii="Arial" w:hAnsi="Arial" w:cs="Arial"/>
          <w:bCs/>
          <w:szCs w:val="22"/>
          <w:lang w:val="es-ES_tradnl"/>
        </w:rPr>
      </w:pPr>
      <w:r w:rsidRPr="001B4E07">
        <w:rPr>
          <w:rFonts w:ascii="Arial" w:hAnsi="Arial" w:cs="Arial"/>
          <w:bCs/>
          <w:szCs w:val="22"/>
          <w:lang w:val="es-ES_tradnl"/>
        </w:rPr>
        <w:t xml:space="preserve">2. </w:t>
      </w:r>
      <w:r w:rsidR="00124D31" w:rsidRPr="001B4E07">
        <w:rPr>
          <w:rFonts w:ascii="Arial" w:hAnsi="Arial" w:cs="Arial"/>
          <w:bCs/>
          <w:szCs w:val="22"/>
          <w:lang w:val="es-ES_tradnl"/>
        </w:rPr>
        <w:t xml:space="preserve">A efectos de lo previsto en el apartado anterior, se tendrán en cuenta únicamente las unidades de convivencia </w:t>
      </w:r>
      <w:r w:rsidR="00F75D27" w:rsidRPr="001B4E07">
        <w:rPr>
          <w:rFonts w:ascii="Arial" w:hAnsi="Arial" w:cs="Arial"/>
          <w:bCs/>
          <w:szCs w:val="22"/>
          <w:lang w:val="es-ES_tradnl"/>
        </w:rPr>
        <w:t xml:space="preserve">cuyos integrantes no hayan variado durante el ejercicio en el que se realice la revisión y los dos ejercicios fiscales anteriores, </w:t>
      </w:r>
      <w:r w:rsidR="00E12320" w:rsidRPr="001B4E07">
        <w:rPr>
          <w:rFonts w:ascii="Arial" w:hAnsi="Arial" w:cs="Arial"/>
          <w:bCs/>
          <w:szCs w:val="22"/>
          <w:lang w:val="es-ES_tradnl"/>
        </w:rPr>
        <w:t>s</w:t>
      </w:r>
      <w:r w:rsidR="00D11BF6" w:rsidRPr="001B4E07">
        <w:rPr>
          <w:rFonts w:ascii="Arial" w:hAnsi="Arial" w:cs="Arial"/>
          <w:bCs/>
          <w:szCs w:val="22"/>
          <w:lang w:val="es-ES_tradnl"/>
        </w:rPr>
        <w:t>alvo en los supuestos en los que la variación de la unidad de convivencia venga motivada por</w:t>
      </w:r>
      <w:r w:rsidR="00E12320" w:rsidRPr="001B4E07">
        <w:rPr>
          <w:rFonts w:ascii="Arial" w:hAnsi="Arial" w:cs="Arial"/>
          <w:bCs/>
          <w:szCs w:val="22"/>
          <w:lang w:val="es-ES_tradnl"/>
        </w:rPr>
        <w:t>que alguno de sus miembros hayan dejado de formar parte de la misma</w:t>
      </w:r>
      <w:r w:rsidR="00D11BF6" w:rsidRPr="001B4E07">
        <w:rPr>
          <w:rFonts w:ascii="Arial" w:hAnsi="Arial" w:cs="Arial"/>
          <w:bCs/>
          <w:szCs w:val="22"/>
          <w:lang w:val="es-ES_tradnl"/>
        </w:rPr>
        <w:t xml:space="preserve">, así como en los casos de </w:t>
      </w:r>
      <w:r w:rsidR="00D11BF6" w:rsidRPr="001B4E07">
        <w:rPr>
          <w:rFonts w:ascii="Arial" w:hAnsi="Arial" w:cs="Arial"/>
          <w:bCs/>
          <w:szCs w:val="22"/>
          <w:lang w:val="es-ES_tradnl"/>
        </w:rPr>
        <w:lastRenderedPageBreak/>
        <w:t>fallecimiento, nacimiento, adopción, guarda con fines de adopción o acogimiento familiar permanente de menores, reagrupación familiar de hijas o hijos menores de edad, y en los supuestos de mujeres víctimas de violencia de género o trata de seres humanos y explotación sexual.</w:t>
      </w:r>
    </w:p>
    <w:p w14:paraId="1D99D16A" w14:textId="77777777" w:rsidR="00E12320" w:rsidRPr="001B4E07" w:rsidRDefault="00E12320" w:rsidP="00F63177">
      <w:pPr>
        <w:spacing w:after="160" w:line="240" w:lineRule="auto"/>
        <w:rPr>
          <w:rFonts w:ascii="Arial" w:hAnsi="Arial" w:cs="Arial"/>
          <w:b/>
          <w:i/>
          <w:iCs/>
          <w:szCs w:val="22"/>
          <w:lang w:val="es-ES_tradnl"/>
        </w:rPr>
      </w:pPr>
    </w:p>
    <w:p w14:paraId="204B81B7" w14:textId="28CEB8F2" w:rsidR="00986B08" w:rsidRPr="001B4E07" w:rsidRDefault="008021AA" w:rsidP="00F63177">
      <w:pPr>
        <w:spacing w:after="160" w:line="240" w:lineRule="auto"/>
        <w:rPr>
          <w:rFonts w:ascii="Arial" w:hAnsi="Arial" w:cs="Arial"/>
          <w:bCs/>
          <w:szCs w:val="22"/>
          <w:lang w:val="es-ES_tradnl"/>
        </w:rPr>
      </w:pPr>
      <w:r w:rsidRPr="001B4E07">
        <w:rPr>
          <w:rFonts w:ascii="Arial" w:hAnsi="Arial" w:cs="Arial"/>
          <w:b/>
          <w:i/>
          <w:iCs/>
          <w:szCs w:val="22"/>
          <w:lang w:val="es-ES_tradnl"/>
        </w:rPr>
        <w:t xml:space="preserve">Artículo </w:t>
      </w:r>
      <w:r w:rsidR="00536E29" w:rsidRPr="001B4E07">
        <w:rPr>
          <w:rFonts w:ascii="Arial" w:hAnsi="Arial" w:cs="Arial"/>
          <w:b/>
          <w:i/>
          <w:iCs/>
          <w:szCs w:val="22"/>
          <w:lang w:val="es-ES_tradnl"/>
        </w:rPr>
        <w:t>3</w:t>
      </w:r>
      <w:r w:rsidRPr="001B4E07">
        <w:rPr>
          <w:rFonts w:ascii="Arial" w:hAnsi="Arial" w:cs="Arial"/>
          <w:b/>
          <w:i/>
          <w:iCs/>
          <w:szCs w:val="22"/>
          <w:lang w:val="es-ES_tradnl"/>
        </w:rPr>
        <w:t xml:space="preserve">. </w:t>
      </w:r>
      <w:r w:rsidR="00986B08" w:rsidRPr="001B4E07">
        <w:rPr>
          <w:rFonts w:ascii="Arial" w:hAnsi="Arial" w:cs="Arial"/>
          <w:b/>
          <w:i/>
          <w:iCs/>
          <w:szCs w:val="22"/>
          <w:lang w:val="es-ES_tradnl"/>
        </w:rPr>
        <w:t>Cómputo de ingresos procedentes de rentas de trabajo o actividades económicas por cuenta propia.</w:t>
      </w:r>
    </w:p>
    <w:p w14:paraId="02E6CDE8" w14:textId="1E2441EF" w:rsidR="00986B08" w:rsidRPr="001B4E07" w:rsidRDefault="00986B08" w:rsidP="00F63177">
      <w:pPr>
        <w:spacing w:after="0" w:line="240" w:lineRule="auto"/>
        <w:rPr>
          <w:rFonts w:ascii="Arial" w:hAnsi="Arial" w:cs="Arial"/>
          <w:bCs/>
          <w:i/>
          <w:iCs/>
          <w:szCs w:val="22"/>
          <w:lang w:val="es-ES_tradnl"/>
        </w:rPr>
      </w:pPr>
    </w:p>
    <w:p w14:paraId="2A37D6C2" w14:textId="20A12A19" w:rsidR="00E0760A" w:rsidRPr="001B4E07" w:rsidRDefault="00803ACE" w:rsidP="00873B43">
      <w:pPr>
        <w:spacing w:line="240" w:lineRule="auto"/>
        <w:rPr>
          <w:rFonts w:ascii="Arial" w:hAnsi="Arial" w:cs="Arial"/>
          <w:bCs/>
          <w:szCs w:val="22"/>
          <w:lang w:val="es-ES_tradnl"/>
        </w:rPr>
      </w:pPr>
      <w:r w:rsidRPr="001B4E07">
        <w:rPr>
          <w:rFonts w:ascii="Arial" w:hAnsi="Arial" w:cs="Arial"/>
          <w:lang w:val="es-ES_tradnl"/>
        </w:rPr>
        <w:t xml:space="preserve">Para la aplicación de la exención se tomarán en consideración, respecto de beneficiarios individuales, los incrementos </w:t>
      </w:r>
      <w:bookmarkStart w:id="1" w:name="_Hlk107313400"/>
      <w:r w:rsidRPr="001B4E07">
        <w:rPr>
          <w:rFonts w:ascii="Arial" w:hAnsi="Arial" w:cs="Arial"/>
          <w:lang w:val="es-ES_tradnl"/>
        </w:rPr>
        <w:t xml:space="preserve">procedentes de rentas de trabajo o de la actividad económica por cuenta propia </w:t>
      </w:r>
      <w:bookmarkEnd w:id="1"/>
      <w:r w:rsidRPr="001B4E07">
        <w:rPr>
          <w:rFonts w:ascii="Arial" w:hAnsi="Arial" w:cs="Arial"/>
          <w:lang w:val="es-ES_tradnl"/>
        </w:rPr>
        <w:t xml:space="preserve">que se hayan producido en los dos ejercicios fiscales previos al año de la revisión del ingreso mínimo vital y que sean calculados y facilitados por la Agencia Estatal de la Administración Tributaria o, en su caso, las Haciendas Forales a la entidad gestora. </w:t>
      </w:r>
      <w:bookmarkStart w:id="2" w:name="_Hlk107334668"/>
      <w:r w:rsidR="00DB3DF8" w:rsidRPr="001B4E07">
        <w:rPr>
          <w:rFonts w:ascii="Arial" w:hAnsi="Arial" w:cs="Arial"/>
          <w:lang w:val="es-ES_tradnl"/>
        </w:rPr>
        <w:t xml:space="preserve">Si se tratara de una unidad de convivencia </w:t>
      </w:r>
      <w:r w:rsidRPr="001B4E07">
        <w:rPr>
          <w:rFonts w:ascii="Arial" w:hAnsi="Arial" w:cs="Arial"/>
          <w:lang w:val="es-ES_tradnl"/>
        </w:rPr>
        <w:t xml:space="preserve">el cálculo final se realizará de forma </w:t>
      </w:r>
      <w:r w:rsidR="00873B43">
        <w:rPr>
          <w:rFonts w:ascii="Arial" w:hAnsi="Arial" w:cs="Arial"/>
          <w:lang w:val="es-ES_tradnl"/>
        </w:rPr>
        <w:t>agregada</w:t>
      </w:r>
      <w:r w:rsidRPr="001B4E07">
        <w:rPr>
          <w:rFonts w:ascii="Arial" w:hAnsi="Arial" w:cs="Arial"/>
          <w:lang w:val="es-ES_tradnl"/>
        </w:rPr>
        <w:t>, teniendo en cuenta tanto los incrementos como los decrementos que se hubieran producido en las mencionadas rentas para la totalidad de los integrantes</w:t>
      </w:r>
      <w:bookmarkStart w:id="3" w:name="_Hlk106730369"/>
      <w:r w:rsidRPr="001B4E07">
        <w:rPr>
          <w:rFonts w:ascii="Arial" w:hAnsi="Arial" w:cs="Arial"/>
          <w:lang w:val="es-ES_tradnl"/>
        </w:rPr>
        <w:t xml:space="preserve">. </w:t>
      </w:r>
      <w:bookmarkEnd w:id="2"/>
      <w:r w:rsidRPr="001B4E07">
        <w:rPr>
          <w:rFonts w:ascii="Arial" w:hAnsi="Arial" w:cs="Arial"/>
          <w:lang w:val="es-ES_tradnl"/>
        </w:rPr>
        <w:t>En ambos casos, se tendrán cuenta para su cómputo los siguientes conceptos:</w:t>
      </w:r>
    </w:p>
    <w:p w14:paraId="3B368DB2" w14:textId="71712DF0" w:rsidR="00E0760A" w:rsidRDefault="00E0760A" w:rsidP="00F63177">
      <w:pPr>
        <w:numPr>
          <w:ilvl w:val="0"/>
          <w:numId w:val="16"/>
        </w:numPr>
        <w:spacing w:after="0" w:line="240" w:lineRule="auto"/>
        <w:rPr>
          <w:rFonts w:ascii="Arial" w:hAnsi="Arial" w:cs="Arial"/>
          <w:szCs w:val="22"/>
        </w:rPr>
      </w:pPr>
      <w:r w:rsidRPr="001B4E07">
        <w:rPr>
          <w:rFonts w:ascii="Arial" w:hAnsi="Arial" w:cs="Arial"/>
          <w:szCs w:val="22"/>
        </w:rPr>
        <w:t>Rendimientos del trabajo: Rendimiento neto.</w:t>
      </w:r>
    </w:p>
    <w:p w14:paraId="743129B9" w14:textId="2237937E" w:rsidR="00E0760A" w:rsidRPr="00DF6AAD" w:rsidRDefault="00DF6AAD" w:rsidP="00270FE8">
      <w:pPr>
        <w:numPr>
          <w:ilvl w:val="0"/>
          <w:numId w:val="16"/>
        </w:numPr>
        <w:spacing w:after="0" w:line="240" w:lineRule="auto"/>
        <w:rPr>
          <w:rFonts w:ascii="Arial" w:hAnsi="Arial" w:cs="Arial"/>
          <w:szCs w:val="22"/>
        </w:rPr>
      </w:pPr>
      <w:r w:rsidRPr="00DF6AAD">
        <w:rPr>
          <w:rFonts w:ascii="Arial" w:hAnsi="Arial" w:cs="Arial"/>
          <w:szCs w:val="22"/>
        </w:rPr>
        <w:t>R</w:t>
      </w:r>
      <w:r w:rsidR="00E0760A" w:rsidRPr="00DF6AAD">
        <w:rPr>
          <w:rFonts w:ascii="Arial" w:hAnsi="Arial" w:cs="Arial"/>
          <w:szCs w:val="22"/>
        </w:rPr>
        <w:t>endimientos de actividades económicas en estimación directa: Rendimiento neto.</w:t>
      </w:r>
    </w:p>
    <w:p w14:paraId="1D1A92DF" w14:textId="71551271" w:rsidR="00E0760A" w:rsidRPr="001B4E07" w:rsidRDefault="00E0760A" w:rsidP="00F63177">
      <w:pPr>
        <w:numPr>
          <w:ilvl w:val="0"/>
          <w:numId w:val="16"/>
        </w:numPr>
        <w:spacing w:after="0" w:line="240" w:lineRule="auto"/>
        <w:rPr>
          <w:rFonts w:ascii="Arial" w:hAnsi="Arial" w:cs="Arial"/>
          <w:szCs w:val="22"/>
        </w:rPr>
      </w:pPr>
      <w:r w:rsidRPr="001B4E07">
        <w:rPr>
          <w:rFonts w:ascii="Arial" w:hAnsi="Arial" w:cs="Arial"/>
          <w:szCs w:val="22"/>
        </w:rPr>
        <w:t>Rendimientos de actividades económicas en estimación objetiva (excepto agrícola, ganadera y forestal): Rendimiento neto previo.</w:t>
      </w:r>
    </w:p>
    <w:p w14:paraId="1F8147CF" w14:textId="1CD657C3" w:rsidR="00E0760A" w:rsidRPr="001B4E07" w:rsidRDefault="00E0760A" w:rsidP="00F63177">
      <w:pPr>
        <w:numPr>
          <w:ilvl w:val="0"/>
          <w:numId w:val="16"/>
        </w:numPr>
        <w:spacing w:after="0" w:line="240" w:lineRule="auto"/>
        <w:rPr>
          <w:rFonts w:ascii="Arial" w:hAnsi="Arial" w:cs="Arial"/>
          <w:szCs w:val="22"/>
        </w:rPr>
      </w:pPr>
      <w:r w:rsidRPr="001B4E07">
        <w:rPr>
          <w:rFonts w:ascii="Arial" w:hAnsi="Arial" w:cs="Arial"/>
          <w:szCs w:val="22"/>
        </w:rPr>
        <w:t>Rendimientos de actividades agrícola, ganaderas y forestales en estimación objetiva: Rendimiento neto minorado</w:t>
      </w:r>
      <w:r w:rsidR="00873B43">
        <w:rPr>
          <w:rFonts w:ascii="Arial" w:hAnsi="Arial" w:cs="Arial"/>
          <w:szCs w:val="22"/>
        </w:rPr>
        <w:t>.</w:t>
      </w:r>
    </w:p>
    <w:p w14:paraId="559C26A0" w14:textId="4BA0E70A" w:rsidR="00C87E68" w:rsidRDefault="00E0760A" w:rsidP="00F63177">
      <w:pPr>
        <w:numPr>
          <w:ilvl w:val="0"/>
          <w:numId w:val="16"/>
        </w:numPr>
        <w:spacing w:after="0" w:line="240" w:lineRule="auto"/>
        <w:rPr>
          <w:rFonts w:ascii="Arial" w:hAnsi="Arial" w:cs="Arial"/>
          <w:szCs w:val="22"/>
        </w:rPr>
      </w:pPr>
      <w:r w:rsidRPr="001B4E07">
        <w:rPr>
          <w:rFonts w:ascii="Arial" w:hAnsi="Arial" w:cs="Arial"/>
          <w:szCs w:val="22"/>
        </w:rPr>
        <w:t>Régimen de atribución de rentas de actividades económicas: Rendimiento neto (estimación directa normal y estimación objetiva) / Rendimiento neto previo (estimación directa simplificada)</w:t>
      </w:r>
    </w:p>
    <w:p w14:paraId="47D26845" w14:textId="43B893F6" w:rsidR="00536E29" w:rsidRPr="004C0F04" w:rsidRDefault="00873B43" w:rsidP="00F73B8A">
      <w:pPr>
        <w:numPr>
          <w:ilvl w:val="0"/>
          <w:numId w:val="16"/>
        </w:numPr>
        <w:spacing w:after="0" w:line="240" w:lineRule="auto"/>
        <w:rPr>
          <w:rFonts w:ascii="Arial" w:hAnsi="Arial" w:cs="Arial"/>
          <w:szCs w:val="22"/>
        </w:rPr>
      </w:pPr>
      <w:r w:rsidRPr="004C0F04">
        <w:rPr>
          <w:rFonts w:ascii="Arial" w:hAnsi="Arial" w:cs="Arial"/>
          <w:szCs w:val="22"/>
        </w:rPr>
        <w:t>P</w:t>
      </w:r>
      <w:bookmarkEnd w:id="3"/>
      <w:r w:rsidRPr="004C0F04">
        <w:rPr>
          <w:bCs/>
        </w:rPr>
        <w:t>restaciones de Seguridad Social sustitutivas del trabajo</w:t>
      </w:r>
    </w:p>
    <w:p w14:paraId="4EA0C165" w14:textId="08283050" w:rsidR="00E0760A" w:rsidRPr="001B4E07" w:rsidRDefault="00E0760A" w:rsidP="00F63177">
      <w:pPr>
        <w:spacing w:after="0" w:line="240" w:lineRule="auto"/>
        <w:rPr>
          <w:rFonts w:ascii="Arial" w:hAnsi="Arial" w:cs="Arial"/>
          <w:szCs w:val="22"/>
          <w:lang w:val="es-ES_tradnl"/>
        </w:rPr>
      </w:pPr>
    </w:p>
    <w:p w14:paraId="7568D662" w14:textId="6F0F18D0" w:rsidR="00E0760A" w:rsidRPr="00261040" w:rsidRDefault="00E0760A" w:rsidP="00DF6AAD">
      <w:pPr>
        <w:spacing w:before="240" w:after="0" w:line="240" w:lineRule="auto"/>
        <w:rPr>
          <w:rFonts w:ascii="Arial" w:hAnsi="Arial" w:cs="Arial"/>
          <w:b/>
          <w:bCs/>
          <w:i/>
          <w:iCs/>
          <w:szCs w:val="22"/>
          <w:lang w:val="es-ES_tradnl"/>
        </w:rPr>
      </w:pPr>
      <w:r w:rsidRPr="00261040">
        <w:rPr>
          <w:rFonts w:ascii="Arial" w:hAnsi="Arial" w:cs="Arial"/>
          <w:b/>
          <w:bCs/>
          <w:i/>
          <w:iCs/>
          <w:szCs w:val="22"/>
          <w:lang w:val="es-ES_tradnl"/>
        </w:rPr>
        <w:t xml:space="preserve">Artículo 4. </w:t>
      </w:r>
      <w:r w:rsidR="00D11BF6" w:rsidRPr="00261040">
        <w:rPr>
          <w:rFonts w:ascii="Arial" w:hAnsi="Arial" w:cs="Arial"/>
          <w:b/>
          <w:bCs/>
          <w:i/>
          <w:iCs/>
          <w:szCs w:val="22"/>
          <w:lang w:val="es-ES_tradnl"/>
        </w:rPr>
        <w:t>T</w:t>
      </w:r>
      <w:r w:rsidRPr="00261040">
        <w:rPr>
          <w:rFonts w:ascii="Arial" w:hAnsi="Arial" w:cs="Arial"/>
          <w:b/>
          <w:bCs/>
          <w:i/>
          <w:iCs/>
          <w:szCs w:val="22"/>
          <w:lang w:val="es-ES_tradnl"/>
        </w:rPr>
        <w:t>ramos de renta exenta.</w:t>
      </w:r>
    </w:p>
    <w:p w14:paraId="187BD7A6" w14:textId="77777777" w:rsidR="008F3B9C" w:rsidRPr="001B4E07" w:rsidRDefault="008F3B9C" w:rsidP="00F63177">
      <w:pPr>
        <w:spacing w:after="0" w:line="240" w:lineRule="auto"/>
        <w:rPr>
          <w:rFonts w:ascii="Arial" w:hAnsi="Arial" w:cs="Arial"/>
          <w:szCs w:val="22"/>
          <w:lang w:val="es-ES_tradnl"/>
        </w:rPr>
      </w:pPr>
    </w:p>
    <w:p w14:paraId="01975E8F" w14:textId="77777777" w:rsidR="00873B43" w:rsidRDefault="00873B43" w:rsidP="00873B43">
      <w:pPr>
        <w:spacing w:after="0" w:line="240" w:lineRule="auto"/>
        <w:rPr>
          <w:rFonts w:ascii="Arial" w:hAnsi="Arial" w:cs="Arial"/>
          <w:b/>
          <w:bCs/>
          <w:szCs w:val="22"/>
        </w:rPr>
      </w:pPr>
      <w:r w:rsidRPr="001B4E07">
        <w:rPr>
          <w:rFonts w:ascii="Arial" w:hAnsi="Arial" w:cs="Arial"/>
          <w:b/>
          <w:bCs/>
          <w:szCs w:val="22"/>
        </w:rPr>
        <w:t>1.El importe de la renta exenta será el que resulte de aplicar los siguientes tramos:</w:t>
      </w:r>
    </w:p>
    <w:p w14:paraId="27133465" w14:textId="77777777" w:rsidR="00873B43" w:rsidRDefault="00873B43" w:rsidP="00873B43">
      <w:pPr>
        <w:spacing w:after="0" w:line="240" w:lineRule="auto"/>
        <w:rPr>
          <w:rFonts w:ascii="Arial" w:hAnsi="Arial" w:cs="Arial"/>
          <w:b/>
          <w:bCs/>
          <w:szCs w:val="22"/>
        </w:rPr>
      </w:pPr>
    </w:p>
    <w:p w14:paraId="26CDD31F" w14:textId="77777777" w:rsidR="00873B43" w:rsidRPr="001B4E07" w:rsidRDefault="00873B43" w:rsidP="00873B43">
      <w:pPr>
        <w:spacing w:after="0" w:line="240" w:lineRule="auto"/>
        <w:rPr>
          <w:rFonts w:ascii="Arial" w:hAnsi="Arial" w:cs="Arial"/>
          <w:szCs w:val="22"/>
        </w:rPr>
      </w:pPr>
    </w:p>
    <w:p w14:paraId="412915BB" w14:textId="77777777" w:rsidR="00873B43" w:rsidRDefault="00873B43" w:rsidP="00873B43">
      <w:pPr>
        <w:numPr>
          <w:ilvl w:val="0"/>
          <w:numId w:val="17"/>
        </w:numPr>
        <w:spacing w:after="0" w:line="276" w:lineRule="auto"/>
        <w:rPr>
          <w:rFonts w:ascii="Arial" w:hAnsi="Arial" w:cs="Arial"/>
          <w:szCs w:val="22"/>
        </w:rPr>
      </w:pPr>
      <w:r>
        <w:rPr>
          <w:rFonts w:ascii="Arial" w:hAnsi="Arial" w:cs="Arial"/>
          <w:szCs w:val="22"/>
        </w:rPr>
        <w:t xml:space="preserve">Tramo 1: </w:t>
      </w:r>
      <w:r w:rsidRPr="001B4E07">
        <w:rPr>
          <w:rFonts w:ascii="Arial" w:hAnsi="Arial" w:cs="Arial"/>
          <w:szCs w:val="22"/>
        </w:rPr>
        <w:t>El importe de los ingresos previstos en el artículo 3 hasta una cuantía igual al 60% de la renta garantizada de la unidad de convivencia, se excluirá del cómputo para el cálculo del IMV.</w:t>
      </w:r>
    </w:p>
    <w:p w14:paraId="60337160" w14:textId="77777777" w:rsidR="00873B43" w:rsidRDefault="00873B43" w:rsidP="00873B43">
      <w:pPr>
        <w:numPr>
          <w:ilvl w:val="0"/>
          <w:numId w:val="17"/>
        </w:numPr>
        <w:spacing w:after="0" w:line="276" w:lineRule="auto"/>
        <w:rPr>
          <w:rFonts w:ascii="Arial" w:hAnsi="Arial" w:cs="Arial"/>
          <w:szCs w:val="22"/>
        </w:rPr>
      </w:pPr>
      <w:r w:rsidRPr="0075561E">
        <w:rPr>
          <w:rFonts w:ascii="Arial" w:hAnsi="Arial" w:cs="Arial"/>
          <w:szCs w:val="22"/>
        </w:rPr>
        <w:t xml:space="preserve">Tramo 2: Al importe de los ingresos previstos en el artículo 3 que supere el 60% de la cuantía de la renta garantizada de la unidad de convivencia, y hasta la cuantía de dicha renta garantizada, le será aplicado </w:t>
      </w:r>
      <w:r>
        <w:rPr>
          <w:rFonts w:ascii="Arial" w:hAnsi="Arial" w:cs="Arial"/>
          <w:szCs w:val="22"/>
        </w:rPr>
        <w:t>un porcentaje</w:t>
      </w:r>
      <w:r w:rsidRPr="0075561E">
        <w:rPr>
          <w:rFonts w:ascii="Arial" w:hAnsi="Arial" w:cs="Arial"/>
          <w:color w:val="000000" w:themeColor="text1"/>
          <w:szCs w:val="22"/>
        </w:rPr>
        <w:t xml:space="preserve"> </w:t>
      </w:r>
      <w:r w:rsidRPr="00D14815">
        <w:rPr>
          <w:rFonts w:ascii="Arial" w:hAnsi="Arial" w:cs="Arial"/>
          <w:color w:val="000000" w:themeColor="text1"/>
          <w:szCs w:val="22"/>
        </w:rPr>
        <w:t>que dependerá de la composición de la unidad de convivencia y de su relación con el mercado laboral, de acuerdo con el siguiente esquema</w:t>
      </w:r>
      <w:r>
        <w:rPr>
          <w:rFonts w:ascii="Arial" w:hAnsi="Arial" w:cs="Arial"/>
          <w:color w:val="000000" w:themeColor="text1"/>
          <w:szCs w:val="22"/>
        </w:rPr>
        <w:t>,</w:t>
      </w:r>
      <w:r>
        <w:rPr>
          <w:rFonts w:ascii="Arial" w:hAnsi="Arial" w:cs="Arial"/>
          <w:szCs w:val="22"/>
        </w:rPr>
        <w:t xml:space="preserve"> </w:t>
      </w:r>
      <w:r w:rsidRPr="0075561E">
        <w:rPr>
          <w:rFonts w:ascii="Arial" w:hAnsi="Arial" w:cs="Arial"/>
          <w:szCs w:val="22"/>
        </w:rPr>
        <w:t xml:space="preserve">y el resultado se excluirá del cómputo para el cálculo del IMV. </w:t>
      </w:r>
    </w:p>
    <w:p w14:paraId="1446BDAF" w14:textId="66F1565E" w:rsidR="00261040" w:rsidRDefault="00873B43" w:rsidP="00873B43">
      <w:pPr>
        <w:pStyle w:val="Prrafodelista"/>
        <w:numPr>
          <w:ilvl w:val="0"/>
          <w:numId w:val="18"/>
        </w:numPr>
        <w:spacing w:line="276" w:lineRule="auto"/>
        <w:rPr>
          <w:rFonts w:ascii="Arial" w:hAnsi="Arial" w:cs="Arial"/>
          <w:color w:val="000000" w:themeColor="text1"/>
          <w:szCs w:val="22"/>
        </w:rPr>
      </w:pPr>
      <w:r w:rsidRPr="0075561E">
        <w:rPr>
          <w:rFonts w:ascii="Arial" w:hAnsi="Arial" w:cs="Arial"/>
          <w:color w:val="000000" w:themeColor="text1"/>
          <w:szCs w:val="22"/>
        </w:rPr>
        <w:lastRenderedPageBreak/>
        <w:t xml:space="preserve">En el caso de unidades de convivencia </w:t>
      </w:r>
      <w:r w:rsidR="00261040">
        <w:rPr>
          <w:rFonts w:ascii="Arial" w:hAnsi="Arial" w:cs="Arial"/>
          <w:color w:val="000000" w:themeColor="text1"/>
          <w:szCs w:val="22"/>
        </w:rPr>
        <w:t xml:space="preserve">o </w:t>
      </w:r>
      <w:r w:rsidRPr="0075561E">
        <w:rPr>
          <w:rFonts w:ascii="Arial" w:hAnsi="Arial" w:cs="Arial"/>
          <w:color w:val="000000" w:themeColor="text1"/>
          <w:szCs w:val="22"/>
        </w:rPr>
        <w:t>compuestas exclusivamente por personas adultas</w:t>
      </w:r>
      <w:r w:rsidR="00261040">
        <w:rPr>
          <w:rFonts w:ascii="Arial" w:hAnsi="Arial" w:cs="Arial"/>
          <w:color w:val="000000" w:themeColor="text1"/>
          <w:szCs w:val="22"/>
        </w:rPr>
        <w:t xml:space="preserve"> o </w:t>
      </w:r>
      <w:r w:rsidR="00261040" w:rsidRPr="001B4E07">
        <w:rPr>
          <w:rFonts w:ascii="Arial" w:hAnsi="Arial" w:cs="Arial"/>
          <w:bCs/>
          <w:szCs w:val="22"/>
          <w:lang w:val="es-ES_tradnl"/>
        </w:rPr>
        <w:t>personas beneficiarias individuales</w:t>
      </w:r>
      <w:r w:rsidR="00261040">
        <w:rPr>
          <w:rFonts w:ascii="Arial" w:hAnsi="Arial" w:cs="Arial"/>
          <w:color w:val="000000" w:themeColor="text1"/>
          <w:szCs w:val="22"/>
        </w:rPr>
        <w:t xml:space="preserve">: </w:t>
      </w:r>
    </w:p>
    <w:p w14:paraId="30914824" w14:textId="2B28238E" w:rsidR="00873B43" w:rsidRPr="0075561E" w:rsidRDefault="00261040" w:rsidP="00261040">
      <w:pPr>
        <w:pStyle w:val="Prrafodelista"/>
        <w:numPr>
          <w:ilvl w:val="1"/>
          <w:numId w:val="18"/>
        </w:numPr>
        <w:spacing w:line="276" w:lineRule="auto"/>
        <w:rPr>
          <w:rFonts w:ascii="Arial" w:hAnsi="Arial" w:cs="Arial"/>
          <w:color w:val="000000" w:themeColor="text1"/>
          <w:szCs w:val="22"/>
        </w:rPr>
      </w:pPr>
      <w:r w:rsidRPr="0075561E">
        <w:rPr>
          <w:rFonts w:ascii="Arial" w:hAnsi="Arial" w:cs="Arial"/>
          <w:color w:val="000000" w:themeColor="text1"/>
          <w:szCs w:val="22"/>
        </w:rPr>
        <w:t>En el caso de unidades de convivencia compuestas exclusivamente por personas adultas</w:t>
      </w:r>
      <w:r>
        <w:rPr>
          <w:rFonts w:ascii="Arial" w:hAnsi="Arial" w:cs="Arial"/>
          <w:color w:val="000000" w:themeColor="text1"/>
          <w:szCs w:val="22"/>
        </w:rPr>
        <w:t xml:space="preserve"> o </w:t>
      </w:r>
      <w:r w:rsidRPr="001B4E07">
        <w:rPr>
          <w:rFonts w:ascii="Arial" w:hAnsi="Arial" w:cs="Arial"/>
          <w:bCs/>
          <w:szCs w:val="22"/>
          <w:lang w:val="es-ES_tradnl"/>
        </w:rPr>
        <w:t>personas beneficiarias individuales</w:t>
      </w:r>
      <w:r w:rsidR="00873B43" w:rsidRPr="0075561E">
        <w:rPr>
          <w:rFonts w:ascii="Arial" w:hAnsi="Arial" w:cs="Arial"/>
          <w:color w:val="000000" w:themeColor="text1"/>
          <w:szCs w:val="22"/>
        </w:rPr>
        <w:t>, en las que el último cómputo de ingresos anterior a la revisión de la prestación no incluía ingresos procedentes del trabajo o de la actividad económica por cuenta propia, el porcentaje será del 30%.</w:t>
      </w:r>
    </w:p>
    <w:p w14:paraId="508965DE" w14:textId="77777777" w:rsidR="00873B43" w:rsidRPr="0075561E" w:rsidRDefault="00873B43" w:rsidP="00261040">
      <w:pPr>
        <w:pStyle w:val="Prrafodelista"/>
        <w:numPr>
          <w:ilvl w:val="1"/>
          <w:numId w:val="18"/>
        </w:numPr>
        <w:spacing w:line="276" w:lineRule="auto"/>
        <w:rPr>
          <w:rFonts w:ascii="Arial" w:hAnsi="Arial" w:cs="Arial"/>
          <w:color w:val="000000" w:themeColor="text1"/>
          <w:szCs w:val="22"/>
        </w:rPr>
      </w:pPr>
      <w:r w:rsidRPr="0075561E">
        <w:rPr>
          <w:rFonts w:ascii="Arial" w:hAnsi="Arial" w:cs="Arial"/>
          <w:color w:val="000000" w:themeColor="text1"/>
          <w:szCs w:val="22"/>
        </w:rPr>
        <w:t>En el caso de unidades de convivencia compuestas exclusivamente por personas adultas, en las que el último cómputo de ingresos anterior a la revisión de la prestación incluía ingresos procedentes del trabajo o de la actividad económica por cuenta propia, el porcentaje será del 20%.</w:t>
      </w:r>
    </w:p>
    <w:p w14:paraId="19933390" w14:textId="3DE8B6EF" w:rsidR="00261040" w:rsidRDefault="00873B43" w:rsidP="00873B43">
      <w:pPr>
        <w:pStyle w:val="Prrafodelista"/>
        <w:numPr>
          <w:ilvl w:val="0"/>
          <w:numId w:val="18"/>
        </w:numPr>
        <w:spacing w:line="276" w:lineRule="auto"/>
        <w:rPr>
          <w:rFonts w:ascii="Arial" w:hAnsi="Arial" w:cs="Arial"/>
          <w:color w:val="000000" w:themeColor="text1"/>
          <w:szCs w:val="22"/>
        </w:rPr>
      </w:pPr>
      <w:r w:rsidRPr="0075561E">
        <w:rPr>
          <w:rFonts w:ascii="Arial" w:hAnsi="Arial" w:cs="Arial"/>
          <w:color w:val="000000" w:themeColor="text1"/>
          <w:szCs w:val="22"/>
        </w:rPr>
        <w:t>En el caso de unidades de convivencia compuestas por una persona adulta con uno o varios menores a cargo</w:t>
      </w:r>
      <w:r w:rsidR="00261040">
        <w:rPr>
          <w:rFonts w:ascii="Arial" w:hAnsi="Arial" w:cs="Arial"/>
          <w:color w:val="000000" w:themeColor="text1"/>
          <w:szCs w:val="22"/>
        </w:rPr>
        <w:t>:</w:t>
      </w:r>
    </w:p>
    <w:p w14:paraId="4215D8DB" w14:textId="30659318" w:rsidR="00873B43" w:rsidRPr="0075561E" w:rsidRDefault="00261040" w:rsidP="00261040">
      <w:pPr>
        <w:pStyle w:val="Prrafodelista"/>
        <w:numPr>
          <w:ilvl w:val="1"/>
          <w:numId w:val="18"/>
        </w:numPr>
        <w:spacing w:line="276" w:lineRule="auto"/>
        <w:rPr>
          <w:rFonts w:ascii="Arial" w:hAnsi="Arial" w:cs="Arial"/>
          <w:color w:val="000000" w:themeColor="text1"/>
          <w:szCs w:val="22"/>
        </w:rPr>
      </w:pPr>
      <w:r w:rsidRPr="0075561E">
        <w:rPr>
          <w:rFonts w:ascii="Arial" w:hAnsi="Arial" w:cs="Arial"/>
          <w:color w:val="000000" w:themeColor="text1"/>
          <w:szCs w:val="22"/>
        </w:rPr>
        <w:t>En el caso de unidades de convivencia compuestas por una persona adulta con uno o varios menores a cargo</w:t>
      </w:r>
      <w:r w:rsidR="00873B43" w:rsidRPr="0075561E">
        <w:rPr>
          <w:rFonts w:ascii="Arial" w:hAnsi="Arial" w:cs="Arial"/>
          <w:color w:val="000000" w:themeColor="text1"/>
          <w:szCs w:val="22"/>
        </w:rPr>
        <w:t xml:space="preserve"> en las que el último cómputo de ingresos anterior a la revisión de la prestación no incluía ingresos procedentes del trabajo o de la actividad económica por cuenta propia, el porcentaje será del 40%</w:t>
      </w:r>
    </w:p>
    <w:p w14:paraId="5B2D0FEA" w14:textId="77777777" w:rsidR="00873B43" w:rsidRPr="0075561E" w:rsidRDefault="00873B43" w:rsidP="00261040">
      <w:pPr>
        <w:pStyle w:val="Prrafodelista"/>
        <w:numPr>
          <w:ilvl w:val="1"/>
          <w:numId w:val="18"/>
        </w:numPr>
        <w:spacing w:line="276" w:lineRule="auto"/>
        <w:rPr>
          <w:rFonts w:ascii="Arial" w:hAnsi="Arial" w:cs="Arial"/>
          <w:color w:val="000000" w:themeColor="text1"/>
          <w:szCs w:val="22"/>
        </w:rPr>
      </w:pPr>
      <w:r w:rsidRPr="0075561E">
        <w:rPr>
          <w:rFonts w:ascii="Arial" w:hAnsi="Arial" w:cs="Arial"/>
          <w:color w:val="000000" w:themeColor="text1"/>
          <w:szCs w:val="22"/>
        </w:rPr>
        <w:t>En el caso de unidades de convivencia compuestas por una persona adulta con uno o varios menores a cargo en las que el último cómputo de ingresos anterior a la revisión de la prestación incluía ingresos procedentes del trabajo o de la actividad económica por cuenta propia, el porcentaje será del 30%.</w:t>
      </w:r>
    </w:p>
    <w:p w14:paraId="5B3AAEDD" w14:textId="08198425" w:rsidR="00261040" w:rsidRDefault="00873B43" w:rsidP="00873B43">
      <w:pPr>
        <w:pStyle w:val="Prrafodelista"/>
        <w:numPr>
          <w:ilvl w:val="0"/>
          <w:numId w:val="18"/>
        </w:numPr>
        <w:spacing w:line="276" w:lineRule="auto"/>
        <w:rPr>
          <w:rFonts w:ascii="Arial" w:hAnsi="Arial" w:cs="Arial"/>
          <w:color w:val="000000" w:themeColor="text1"/>
          <w:szCs w:val="22"/>
        </w:rPr>
      </w:pPr>
      <w:r w:rsidRPr="0075561E">
        <w:rPr>
          <w:rFonts w:ascii="Arial" w:hAnsi="Arial" w:cs="Arial"/>
          <w:color w:val="000000" w:themeColor="text1"/>
          <w:szCs w:val="22"/>
        </w:rPr>
        <w:t>En el caso de unidades de convivencia compuestas por más de una persona adulta con uno o varios menores a cargo</w:t>
      </w:r>
      <w:r w:rsidR="00261040">
        <w:rPr>
          <w:rFonts w:ascii="Arial" w:hAnsi="Arial" w:cs="Arial"/>
          <w:color w:val="000000" w:themeColor="text1"/>
          <w:szCs w:val="22"/>
        </w:rPr>
        <w:t>:</w:t>
      </w:r>
    </w:p>
    <w:p w14:paraId="6AC87359" w14:textId="6294AE19" w:rsidR="00873B43" w:rsidRPr="00261040" w:rsidRDefault="00873B43" w:rsidP="00822B96">
      <w:pPr>
        <w:pStyle w:val="Prrafodelista"/>
        <w:numPr>
          <w:ilvl w:val="1"/>
          <w:numId w:val="18"/>
        </w:numPr>
        <w:spacing w:line="276" w:lineRule="auto"/>
        <w:rPr>
          <w:rFonts w:ascii="Arial" w:hAnsi="Arial" w:cs="Arial"/>
          <w:color w:val="000000" w:themeColor="text1"/>
          <w:szCs w:val="22"/>
        </w:rPr>
      </w:pPr>
      <w:r w:rsidRPr="00261040">
        <w:rPr>
          <w:rFonts w:ascii="Arial" w:hAnsi="Arial" w:cs="Arial"/>
          <w:color w:val="000000" w:themeColor="text1"/>
          <w:szCs w:val="22"/>
        </w:rPr>
        <w:t xml:space="preserve"> </w:t>
      </w:r>
      <w:r w:rsidR="00261040" w:rsidRPr="00261040">
        <w:rPr>
          <w:rFonts w:ascii="Arial" w:hAnsi="Arial" w:cs="Arial"/>
          <w:color w:val="000000" w:themeColor="text1"/>
          <w:szCs w:val="22"/>
        </w:rPr>
        <w:t xml:space="preserve">En el caso de unidades de convivencia compuestas por más de una persona adulta con uno o varios menores a cargo </w:t>
      </w:r>
      <w:r w:rsidRPr="00261040">
        <w:rPr>
          <w:rFonts w:ascii="Arial" w:hAnsi="Arial" w:cs="Arial"/>
          <w:color w:val="000000" w:themeColor="text1"/>
          <w:szCs w:val="22"/>
        </w:rPr>
        <w:t>en las que el último cómputo de ingresos anterior a la revisión de la prestación no incluía ingresos procedentes del trabajo o de la actividad económica por cuenta propia, el porcentaje será del 35%</w:t>
      </w:r>
    </w:p>
    <w:p w14:paraId="26FE1A64" w14:textId="77777777" w:rsidR="00873B43" w:rsidRPr="0075561E" w:rsidRDefault="00873B43" w:rsidP="00261040">
      <w:pPr>
        <w:pStyle w:val="Prrafodelista"/>
        <w:numPr>
          <w:ilvl w:val="1"/>
          <w:numId w:val="18"/>
        </w:numPr>
        <w:spacing w:line="276" w:lineRule="auto"/>
        <w:rPr>
          <w:rFonts w:ascii="Arial" w:hAnsi="Arial" w:cs="Arial"/>
          <w:color w:val="000000" w:themeColor="text1"/>
          <w:szCs w:val="22"/>
        </w:rPr>
      </w:pPr>
      <w:r w:rsidRPr="0075561E">
        <w:rPr>
          <w:rFonts w:ascii="Arial" w:hAnsi="Arial" w:cs="Arial"/>
          <w:color w:val="000000" w:themeColor="text1"/>
          <w:szCs w:val="22"/>
        </w:rPr>
        <w:t>En el caso de unidades de convivencia compuestas por más de una persona adulta con uno o varios menores a cargo en las que el último cómputo de ingresos anterior a la revisión de la prestación incluía ingresos procedentes del trabajo o de la actividad económica por cuenta propia, el porcentaje será del 25%.</w:t>
      </w:r>
    </w:p>
    <w:p w14:paraId="7D4727F2" w14:textId="77777777" w:rsidR="00873B43" w:rsidRDefault="00873B43" w:rsidP="00873B43">
      <w:pPr>
        <w:numPr>
          <w:ilvl w:val="0"/>
          <w:numId w:val="17"/>
        </w:numPr>
        <w:spacing w:after="0" w:line="240" w:lineRule="auto"/>
        <w:rPr>
          <w:rFonts w:ascii="Arial" w:hAnsi="Arial" w:cs="Arial"/>
          <w:szCs w:val="22"/>
        </w:rPr>
      </w:pPr>
      <w:r>
        <w:rPr>
          <w:rFonts w:ascii="Arial" w:hAnsi="Arial" w:cs="Arial"/>
          <w:szCs w:val="22"/>
        </w:rPr>
        <w:t xml:space="preserve">Tramo 3: </w:t>
      </w:r>
      <w:r w:rsidRPr="001B4E07">
        <w:rPr>
          <w:rFonts w:ascii="Arial" w:hAnsi="Arial" w:cs="Arial"/>
          <w:szCs w:val="22"/>
        </w:rPr>
        <w:t>El importe de los ingresos previstos en el artículo 3 que supere la cuantía de la renta garantizada de la unidad de convivencia, no se excluirá del cómputo para el cálculo del IMV.</w:t>
      </w:r>
    </w:p>
    <w:p w14:paraId="03877978" w14:textId="77777777" w:rsidR="00E0760A" w:rsidRPr="001B4E07" w:rsidRDefault="00E0760A" w:rsidP="00F63177">
      <w:pPr>
        <w:spacing w:after="0" w:line="240" w:lineRule="auto"/>
        <w:rPr>
          <w:rFonts w:ascii="Arial" w:hAnsi="Arial" w:cs="Arial"/>
          <w:szCs w:val="22"/>
        </w:rPr>
      </w:pPr>
    </w:p>
    <w:p w14:paraId="7F4B941B" w14:textId="1B0545C8" w:rsidR="00E0760A" w:rsidRPr="001B4E07" w:rsidRDefault="00340AB2" w:rsidP="00F63177">
      <w:pPr>
        <w:spacing w:after="0" w:line="240" w:lineRule="auto"/>
        <w:rPr>
          <w:rFonts w:ascii="Arial" w:hAnsi="Arial" w:cs="Arial"/>
          <w:szCs w:val="22"/>
        </w:rPr>
      </w:pPr>
      <w:r w:rsidRPr="001B4E07">
        <w:rPr>
          <w:rFonts w:ascii="Arial" w:hAnsi="Arial" w:cs="Arial"/>
          <w:szCs w:val="22"/>
        </w:rPr>
        <w:t xml:space="preserve">2. </w:t>
      </w:r>
      <w:r w:rsidR="00A201F4" w:rsidRPr="001B4E07">
        <w:rPr>
          <w:rFonts w:ascii="Arial" w:hAnsi="Arial" w:cs="Arial"/>
          <w:szCs w:val="22"/>
        </w:rPr>
        <w:t>L</w:t>
      </w:r>
      <w:r w:rsidR="00E0760A" w:rsidRPr="001B4E07">
        <w:rPr>
          <w:rFonts w:ascii="Arial" w:hAnsi="Arial" w:cs="Arial"/>
          <w:szCs w:val="22"/>
        </w:rPr>
        <w:t xml:space="preserve">a renta garantizada que se tomará en consideración para el cálculo del porcentaje de </w:t>
      </w:r>
      <w:r w:rsidR="00A201F4" w:rsidRPr="001B4E07">
        <w:rPr>
          <w:rFonts w:ascii="Arial" w:hAnsi="Arial" w:cs="Arial"/>
          <w:szCs w:val="22"/>
        </w:rPr>
        <w:t xml:space="preserve">la </w:t>
      </w:r>
      <w:r w:rsidR="00E0760A" w:rsidRPr="001B4E07">
        <w:rPr>
          <w:rFonts w:ascii="Arial" w:hAnsi="Arial" w:cs="Arial"/>
          <w:szCs w:val="22"/>
        </w:rPr>
        <w:t xml:space="preserve">exención </w:t>
      </w:r>
      <w:r w:rsidR="00A201F4" w:rsidRPr="001B4E07">
        <w:rPr>
          <w:rFonts w:ascii="Arial" w:hAnsi="Arial" w:cs="Arial"/>
          <w:szCs w:val="22"/>
        </w:rPr>
        <w:t xml:space="preserve">que corresponda de acuerdo con lo establecido en el apartado anterior, </w:t>
      </w:r>
      <w:r w:rsidR="00E0760A" w:rsidRPr="001B4E07">
        <w:rPr>
          <w:rFonts w:ascii="Arial" w:hAnsi="Arial" w:cs="Arial"/>
          <w:szCs w:val="22"/>
        </w:rPr>
        <w:t xml:space="preserve">será </w:t>
      </w:r>
      <w:bookmarkStart w:id="4" w:name="_Hlk106019214"/>
      <w:r w:rsidR="00E0760A" w:rsidRPr="001B4E07">
        <w:rPr>
          <w:rFonts w:ascii="Arial" w:hAnsi="Arial" w:cs="Arial"/>
          <w:szCs w:val="22"/>
        </w:rPr>
        <w:t>l</w:t>
      </w:r>
      <w:r w:rsidR="0054554C" w:rsidRPr="001B4E07">
        <w:rPr>
          <w:rFonts w:ascii="Arial" w:hAnsi="Arial" w:cs="Arial"/>
          <w:szCs w:val="22"/>
        </w:rPr>
        <w:t>a</w:t>
      </w:r>
      <w:r w:rsidR="00E0760A" w:rsidRPr="001B4E07">
        <w:rPr>
          <w:rFonts w:ascii="Arial" w:hAnsi="Arial" w:cs="Arial"/>
          <w:szCs w:val="22"/>
        </w:rPr>
        <w:t xml:space="preserve"> previst</w:t>
      </w:r>
      <w:r w:rsidR="0054554C" w:rsidRPr="001B4E07">
        <w:rPr>
          <w:rFonts w:ascii="Arial" w:hAnsi="Arial" w:cs="Arial"/>
          <w:szCs w:val="22"/>
        </w:rPr>
        <w:t>a</w:t>
      </w:r>
      <w:r w:rsidR="00E0760A" w:rsidRPr="001B4E07">
        <w:rPr>
          <w:rFonts w:ascii="Arial" w:hAnsi="Arial" w:cs="Arial"/>
          <w:szCs w:val="22"/>
        </w:rPr>
        <w:t xml:space="preserve"> en el artículo 13.2., apartados a), b), c) y d), de la Ley 19/2021, de 20 </w:t>
      </w:r>
      <w:r w:rsidR="00E0760A" w:rsidRPr="001B4E07">
        <w:rPr>
          <w:rFonts w:ascii="Arial" w:hAnsi="Arial" w:cs="Arial"/>
          <w:szCs w:val="22"/>
        </w:rPr>
        <w:lastRenderedPageBreak/>
        <w:t>de diciembre</w:t>
      </w:r>
      <w:bookmarkEnd w:id="4"/>
      <w:r w:rsidR="00E0760A" w:rsidRPr="001B4E07">
        <w:rPr>
          <w:rFonts w:ascii="Arial" w:hAnsi="Arial" w:cs="Arial"/>
          <w:szCs w:val="22"/>
        </w:rPr>
        <w:t>.</w:t>
      </w:r>
      <w:r w:rsidR="0054554C" w:rsidRPr="001B4E07">
        <w:rPr>
          <w:rFonts w:ascii="Arial" w:hAnsi="Arial" w:cs="Arial"/>
          <w:szCs w:val="22"/>
        </w:rPr>
        <w:t xml:space="preserve">, en función de la unidad de convivencia el 1 de enero del ejercicio en el que se lleve a cabo la revisión. </w:t>
      </w:r>
    </w:p>
    <w:p w14:paraId="6E7902E1" w14:textId="77777777" w:rsidR="00556A2C" w:rsidRPr="001B4E07" w:rsidRDefault="00556A2C" w:rsidP="00F63177">
      <w:pPr>
        <w:spacing w:line="240" w:lineRule="auto"/>
        <w:rPr>
          <w:rFonts w:ascii="Arial" w:hAnsi="Arial" w:cs="Arial"/>
          <w:szCs w:val="22"/>
        </w:rPr>
      </w:pPr>
    </w:p>
    <w:p w14:paraId="49E83DF2" w14:textId="338E2047" w:rsidR="00A351DA" w:rsidRPr="001B4E07" w:rsidRDefault="00A351DA" w:rsidP="00F63177">
      <w:pPr>
        <w:spacing w:line="240" w:lineRule="auto"/>
        <w:rPr>
          <w:rFonts w:ascii="Arial" w:hAnsi="Arial" w:cs="Arial"/>
          <w:szCs w:val="22"/>
        </w:rPr>
      </w:pPr>
      <w:r w:rsidRPr="001B4E07">
        <w:rPr>
          <w:rFonts w:ascii="Arial" w:hAnsi="Arial" w:cs="Arial"/>
          <w:szCs w:val="22"/>
        </w:rPr>
        <w:t xml:space="preserve">Los cálculos que determinen las exenciones en función de las diferencias entre las rentas e ingresos de los dos ejercicios anteriores a aquél en el que se realiza la revisión, se llevará a cabo de acuerdo con los datos tributarios facilitados de conformidad con lo previsto en el artículo 3.  </w:t>
      </w:r>
    </w:p>
    <w:p w14:paraId="78EDCB0B" w14:textId="6FBCC952" w:rsidR="008021AA" w:rsidRPr="00261040" w:rsidRDefault="00986B08" w:rsidP="00F63177">
      <w:pPr>
        <w:spacing w:after="0" w:line="240" w:lineRule="auto"/>
        <w:rPr>
          <w:rFonts w:ascii="Arial" w:hAnsi="Arial" w:cs="Arial"/>
          <w:b/>
          <w:bCs/>
          <w:i/>
          <w:iCs/>
          <w:szCs w:val="22"/>
          <w:lang w:val="es-ES_tradnl"/>
        </w:rPr>
      </w:pPr>
      <w:r w:rsidRPr="00261040">
        <w:rPr>
          <w:rFonts w:ascii="Arial" w:hAnsi="Arial" w:cs="Arial"/>
          <w:b/>
          <w:bCs/>
          <w:i/>
          <w:iCs/>
          <w:szCs w:val="22"/>
          <w:lang w:val="es-ES_tradnl"/>
        </w:rPr>
        <w:t xml:space="preserve">Artículo </w:t>
      </w:r>
      <w:r w:rsidR="00FF768B" w:rsidRPr="00261040">
        <w:rPr>
          <w:rFonts w:ascii="Arial" w:hAnsi="Arial" w:cs="Arial"/>
          <w:b/>
          <w:bCs/>
          <w:i/>
          <w:iCs/>
          <w:szCs w:val="22"/>
          <w:lang w:val="es-ES_tradnl"/>
        </w:rPr>
        <w:t>5</w:t>
      </w:r>
      <w:r w:rsidRPr="00261040">
        <w:rPr>
          <w:rFonts w:ascii="Arial" w:hAnsi="Arial" w:cs="Arial"/>
          <w:b/>
          <w:bCs/>
          <w:i/>
          <w:iCs/>
          <w:szCs w:val="22"/>
          <w:lang w:val="es-ES_tradnl"/>
        </w:rPr>
        <w:t xml:space="preserve">. </w:t>
      </w:r>
      <w:r w:rsidR="008021AA" w:rsidRPr="00261040">
        <w:rPr>
          <w:rFonts w:ascii="Arial" w:hAnsi="Arial" w:cs="Arial"/>
          <w:b/>
          <w:bCs/>
          <w:i/>
          <w:iCs/>
          <w:szCs w:val="22"/>
          <w:lang w:val="es-ES_tradnl"/>
        </w:rPr>
        <w:t xml:space="preserve">Reconocimiento </w:t>
      </w:r>
      <w:r w:rsidR="006F2962" w:rsidRPr="00261040">
        <w:rPr>
          <w:rFonts w:ascii="Arial" w:hAnsi="Arial" w:cs="Arial"/>
          <w:b/>
          <w:bCs/>
          <w:i/>
          <w:iCs/>
          <w:szCs w:val="22"/>
          <w:lang w:val="es-ES_tradnl"/>
        </w:rPr>
        <w:t xml:space="preserve">y efectos </w:t>
      </w:r>
      <w:r w:rsidR="008021AA" w:rsidRPr="00261040">
        <w:rPr>
          <w:rFonts w:ascii="Arial" w:hAnsi="Arial" w:cs="Arial"/>
          <w:b/>
          <w:bCs/>
          <w:i/>
          <w:iCs/>
          <w:szCs w:val="22"/>
          <w:lang w:val="es-ES_tradnl"/>
        </w:rPr>
        <w:t xml:space="preserve">de la </w:t>
      </w:r>
      <w:r w:rsidR="00E71B63" w:rsidRPr="00261040">
        <w:rPr>
          <w:rFonts w:ascii="Arial" w:hAnsi="Arial" w:cs="Arial"/>
          <w:b/>
          <w:bCs/>
          <w:i/>
          <w:iCs/>
          <w:szCs w:val="22"/>
          <w:lang w:val="es-ES_tradnl"/>
        </w:rPr>
        <w:t>exención.</w:t>
      </w:r>
    </w:p>
    <w:p w14:paraId="334E4279" w14:textId="1769AA53" w:rsidR="00124D31" w:rsidRPr="001B4E07" w:rsidRDefault="00124D31" w:rsidP="00F63177">
      <w:pPr>
        <w:spacing w:after="0" w:line="240" w:lineRule="auto"/>
        <w:rPr>
          <w:rFonts w:ascii="Arial" w:hAnsi="Arial" w:cs="Arial"/>
          <w:szCs w:val="22"/>
          <w:lang w:val="es-ES_tradnl"/>
        </w:rPr>
      </w:pPr>
    </w:p>
    <w:p w14:paraId="7FEC7750" w14:textId="77777777" w:rsidR="00E71B63" w:rsidRPr="001B4E07" w:rsidRDefault="00D8103E" w:rsidP="00F63177">
      <w:pPr>
        <w:spacing w:after="0" w:line="240" w:lineRule="auto"/>
        <w:rPr>
          <w:rFonts w:ascii="Arial" w:hAnsi="Arial" w:cs="Arial"/>
          <w:szCs w:val="22"/>
          <w:lang w:val="es-ES_tradnl"/>
        </w:rPr>
      </w:pPr>
      <w:r w:rsidRPr="001B4E07">
        <w:rPr>
          <w:rFonts w:ascii="Arial" w:hAnsi="Arial" w:cs="Arial"/>
          <w:szCs w:val="22"/>
          <w:lang w:val="es-ES_tradnl"/>
        </w:rPr>
        <w:t xml:space="preserve">1. </w:t>
      </w:r>
      <w:r w:rsidR="00E71B63" w:rsidRPr="001B4E07">
        <w:rPr>
          <w:rFonts w:ascii="Arial" w:hAnsi="Arial" w:cs="Arial"/>
          <w:szCs w:val="22"/>
          <w:lang w:val="es-ES_tradnl"/>
        </w:rPr>
        <w:t xml:space="preserve">El Instituto Nacional de la Seguridad Social, de conformidad con la </w:t>
      </w:r>
      <w:r w:rsidR="00E71B63" w:rsidRPr="001B4E07">
        <w:rPr>
          <w:rFonts w:ascii="Arial" w:hAnsi="Arial" w:cs="Arial"/>
          <w:szCs w:val="22"/>
        </w:rPr>
        <w:t xml:space="preserve">información calculada y proporcionada por la Agencia Estatal de la Administración Tributaria o en su caso las Haciendas Forales, </w:t>
      </w:r>
      <w:r w:rsidR="00E71B63" w:rsidRPr="001B4E07">
        <w:rPr>
          <w:rFonts w:ascii="Arial" w:hAnsi="Arial" w:cs="Arial"/>
          <w:szCs w:val="22"/>
          <w:lang w:val="es-ES_tradnl"/>
        </w:rPr>
        <w:t xml:space="preserve">aplicará de oficio la exención que corresponda a los beneficiarios del ingreso mínimo vital en los términos previstos en este real decreto a partir de la primera revisión anual de la cuantía de la prestación del ingreso mínimo vital, siempre y cuando se haya percibido el ingreso minino vital durante los dos ejercicios anteriores a la revisión de la prestación. </w:t>
      </w:r>
    </w:p>
    <w:p w14:paraId="2DAA3E7C" w14:textId="77777777" w:rsidR="00E71B63" w:rsidRPr="001B4E07" w:rsidRDefault="00E71B63" w:rsidP="00F63177">
      <w:pPr>
        <w:spacing w:after="0" w:line="240" w:lineRule="auto"/>
        <w:rPr>
          <w:rFonts w:ascii="Arial" w:hAnsi="Arial" w:cs="Arial"/>
          <w:szCs w:val="22"/>
          <w:lang w:val="es-ES_tradnl"/>
        </w:rPr>
      </w:pPr>
    </w:p>
    <w:p w14:paraId="772BEFCA" w14:textId="77777777" w:rsidR="00E71B63" w:rsidRPr="001B4E07" w:rsidRDefault="00E71B63" w:rsidP="00F63177">
      <w:pPr>
        <w:spacing w:after="0" w:line="240" w:lineRule="auto"/>
        <w:rPr>
          <w:rFonts w:ascii="Arial" w:hAnsi="Arial" w:cs="Arial"/>
          <w:szCs w:val="22"/>
          <w:lang w:val="es-ES_tradnl"/>
        </w:rPr>
      </w:pPr>
      <w:r w:rsidRPr="001B4E07">
        <w:rPr>
          <w:rFonts w:ascii="Arial" w:hAnsi="Arial" w:cs="Arial"/>
          <w:szCs w:val="22"/>
          <w:lang w:val="es-ES_tradnl"/>
        </w:rPr>
        <w:t>Cuando la determinación del requisito de vulnerabilidad económica para el reconocimiento del ingreso mínimo vital se haya hecho en función de los ingresos y rentas computables correspondientes al ejercicio en curso, la compatibilidad exención solo podrá aplicarse a partir del segundo ejercicio desde que se inició su percepción.</w:t>
      </w:r>
    </w:p>
    <w:p w14:paraId="6B9B02EE" w14:textId="77777777" w:rsidR="00E71B63" w:rsidRPr="001B4E07" w:rsidRDefault="00E71B63" w:rsidP="00F63177">
      <w:pPr>
        <w:spacing w:after="0" w:line="240" w:lineRule="auto"/>
        <w:rPr>
          <w:rFonts w:ascii="Arial" w:hAnsi="Arial" w:cs="Arial"/>
          <w:szCs w:val="22"/>
          <w:lang w:val="es-ES_tradnl"/>
        </w:rPr>
      </w:pPr>
    </w:p>
    <w:p w14:paraId="34CC49B1" w14:textId="60E5DA00" w:rsidR="00E71B63" w:rsidRPr="001B4E07" w:rsidRDefault="00E71B63" w:rsidP="00F63177">
      <w:pPr>
        <w:spacing w:after="0" w:line="240" w:lineRule="auto"/>
        <w:rPr>
          <w:rFonts w:ascii="Arial" w:hAnsi="Arial" w:cs="Arial"/>
          <w:szCs w:val="22"/>
          <w:lang w:val="es-ES_tradnl"/>
        </w:rPr>
      </w:pPr>
      <w:r w:rsidRPr="001B4E07">
        <w:rPr>
          <w:rFonts w:ascii="Arial" w:hAnsi="Arial" w:cs="Arial"/>
          <w:szCs w:val="22"/>
          <w:lang w:val="es-ES_tradnl"/>
        </w:rPr>
        <w:t>2. La exención tendrá una periodicidad anual y se hará efectiva en el momento de la revisión y actualización del ingreso mínimo vital de acuerdo con lo dispuesto en el artículo 16.3 de la Ley 19/2021, de 20 de diciembre.</w:t>
      </w:r>
    </w:p>
    <w:p w14:paraId="3EA3867E" w14:textId="77777777" w:rsidR="001773AB" w:rsidRPr="001B4E07" w:rsidRDefault="001773AB" w:rsidP="00F63177">
      <w:pPr>
        <w:spacing w:after="0" w:line="240" w:lineRule="auto"/>
        <w:rPr>
          <w:rFonts w:ascii="Arial" w:hAnsi="Arial" w:cs="Arial"/>
          <w:szCs w:val="22"/>
          <w:lang w:val="es-ES_tradnl"/>
        </w:rPr>
      </w:pPr>
    </w:p>
    <w:p w14:paraId="481A50A0" w14:textId="3493F593" w:rsidR="00A201F4" w:rsidRPr="001B4E07" w:rsidRDefault="00A201F4" w:rsidP="00F63177">
      <w:pPr>
        <w:spacing w:after="0" w:line="240" w:lineRule="auto"/>
        <w:rPr>
          <w:rFonts w:ascii="Arial" w:hAnsi="Arial" w:cs="Arial"/>
          <w:szCs w:val="22"/>
        </w:rPr>
      </w:pPr>
      <w:bookmarkStart w:id="5" w:name="_Hlk101887308"/>
    </w:p>
    <w:p w14:paraId="2B40CE03" w14:textId="77777777" w:rsidR="00A201F4" w:rsidRPr="001B4E07" w:rsidRDefault="00A201F4" w:rsidP="00F63177">
      <w:pPr>
        <w:spacing w:after="0" w:line="240" w:lineRule="auto"/>
        <w:rPr>
          <w:rFonts w:ascii="Arial" w:hAnsi="Arial" w:cs="Arial"/>
          <w:szCs w:val="22"/>
        </w:rPr>
      </w:pPr>
    </w:p>
    <w:p w14:paraId="5F69FF76" w14:textId="066DE6F0" w:rsidR="00A201F4" w:rsidRPr="00261040" w:rsidRDefault="00A201F4" w:rsidP="00F63177">
      <w:pPr>
        <w:spacing w:after="0" w:line="240" w:lineRule="auto"/>
        <w:rPr>
          <w:rFonts w:ascii="Arial" w:hAnsi="Arial" w:cs="Arial"/>
          <w:b/>
          <w:bCs/>
          <w:i/>
          <w:iCs/>
          <w:szCs w:val="22"/>
          <w:lang w:val="es-ES_tradnl"/>
        </w:rPr>
      </w:pPr>
      <w:r w:rsidRPr="00261040">
        <w:rPr>
          <w:rFonts w:ascii="Arial" w:hAnsi="Arial" w:cs="Arial"/>
          <w:b/>
          <w:bCs/>
          <w:i/>
          <w:iCs/>
          <w:szCs w:val="22"/>
          <w:lang w:val="es-ES_tradnl"/>
        </w:rPr>
        <w:t xml:space="preserve">Disposición adicional </w:t>
      </w:r>
      <w:r w:rsidR="0070572F" w:rsidRPr="00261040">
        <w:rPr>
          <w:rFonts w:ascii="Arial" w:hAnsi="Arial" w:cs="Arial"/>
          <w:b/>
          <w:bCs/>
          <w:i/>
          <w:iCs/>
          <w:szCs w:val="22"/>
          <w:lang w:val="es-ES_tradnl"/>
        </w:rPr>
        <w:t>primera</w:t>
      </w:r>
      <w:r w:rsidRPr="00261040">
        <w:rPr>
          <w:rFonts w:ascii="Arial" w:hAnsi="Arial" w:cs="Arial"/>
          <w:b/>
          <w:bCs/>
          <w:i/>
          <w:iCs/>
          <w:szCs w:val="22"/>
          <w:lang w:val="es-ES_tradnl"/>
        </w:rPr>
        <w:t>. Cuantía de la renta garantizada del ingreso mínimo vital.</w:t>
      </w:r>
    </w:p>
    <w:p w14:paraId="007A4D34" w14:textId="77777777" w:rsidR="00A201F4" w:rsidRPr="001B4E07" w:rsidRDefault="00A201F4" w:rsidP="00F63177">
      <w:pPr>
        <w:spacing w:after="0" w:line="240" w:lineRule="auto"/>
        <w:rPr>
          <w:rFonts w:ascii="Arial" w:hAnsi="Arial" w:cs="Arial"/>
          <w:b/>
          <w:bCs/>
          <w:szCs w:val="22"/>
        </w:rPr>
      </w:pPr>
    </w:p>
    <w:p w14:paraId="6EF0769D" w14:textId="5F03F697" w:rsidR="00A201F4" w:rsidRPr="001B4E07" w:rsidRDefault="00A201F4" w:rsidP="00F63177">
      <w:pPr>
        <w:spacing w:after="0" w:line="240" w:lineRule="auto"/>
        <w:rPr>
          <w:rFonts w:ascii="Arial" w:hAnsi="Arial" w:cs="Arial"/>
          <w:szCs w:val="22"/>
        </w:rPr>
      </w:pPr>
      <w:r w:rsidRPr="001B4E07">
        <w:rPr>
          <w:rFonts w:ascii="Arial" w:hAnsi="Arial" w:cs="Arial"/>
          <w:szCs w:val="22"/>
        </w:rPr>
        <w:t>A los efectos de la aplicación de lo previsto en el artículo 11.2 de la Ley 19/2021, de 20 de diciembre, para la determinación de la cuantía mensual de la renta garantizada que corresponda en función de la modalidad y del número de miembros de la unidad de convivencia previstos en las letras a), b), c), y d) del apartado 2 del artículo 13, se sumará el complemento de ayuda a la infancia previsto en la letra e) de dicho apartado.</w:t>
      </w:r>
    </w:p>
    <w:p w14:paraId="1A03641E" w14:textId="77777777" w:rsidR="00A201F4" w:rsidRPr="001B4E07" w:rsidRDefault="00A201F4" w:rsidP="00F63177">
      <w:pPr>
        <w:spacing w:after="0" w:line="240" w:lineRule="auto"/>
        <w:rPr>
          <w:rFonts w:ascii="Arial" w:hAnsi="Arial" w:cs="Arial"/>
          <w:szCs w:val="22"/>
        </w:rPr>
      </w:pPr>
    </w:p>
    <w:p w14:paraId="045C2A5F" w14:textId="77777777" w:rsidR="001202BA" w:rsidRPr="001B4E07" w:rsidRDefault="001202BA" w:rsidP="00F63177">
      <w:pPr>
        <w:spacing w:after="0" w:line="240" w:lineRule="auto"/>
        <w:rPr>
          <w:rFonts w:ascii="Arial" w:hAnsi="Arial" w:cs="Arial"/>
          <w:b/>
          <w:bCs/>
          <w:szCs w:val="22"/>
          <w:lang w:val="es-ES_tradnl"/>
        </w:rPr>
      </w:pPr>
    </w:p>
    <w:p w14:paraId="095A8A7F" w14:textId="5ED21FEE" w:rsidR="00A201F4" w:rsidRPr="00261040" w:rsidRDefault="00A201F4" w:rsidP="00F63177">
      <w:pPr>
        <w:spacing w:after="0" w:line="240" w:lineRule="auto"/>
        <w:rPr>
          <w:rFonts w:ascii="Arial" w:hAnsi="Arial" w:cs="Arial"/>
          <w:b/>
          <w:bCs/>
          <w:i/>
          <w:iCs/>
          <w:szCs w:val="22"/>
          <w:lang w:val="es-ES_tradnl"/>
        </w:rPr>
      </w:pPr>
      <w:r w:rsidRPr="00261040">
        <w:rPr>
          <w:rFonts w:ascii="Arial" w:hAnsi="Arial" w:cs="Arial"/>
          <w:b/>
          <w:bCs/>
          <w:i/>
          <w:iCs/>
          <w:szCs w:val="22"/>
          <w:lang w:val="es-ES_tradnl"/>
        </w:rPr>
        <w:t xml:space="preserve">Disposición adicional </w:t>
      </w:r>
      <w:r w:rsidR="0070572F" w:rsidRPr="00261040">
        <w:rPr>
          <w:rFonts w:ascii="Arial" w:hAnsi="Arial" w:cs="Arial"/>
          <w:b/>
          <w:bCs/>
          <w:i/>
          <w:iCs/>
          <w:szCs w:val="22"/>
          <w:lang w:val="es-ES_tradnl"/>
        </w:rPr>
        <w:t>segunda</w:t>
      </w:r>
      <w:r w:rsidRPr="00261040">
        <w:rPr>
          <w:rFonts w:ascii="Arial" w:hAnsi="Arial" w:cs="Arial"/>
          <w:b/>
          <w:bCs/>
          <w:i/>
          <w:iCs/>
          <w:szCs w:val="22"/>
          <w:lang w:val="es-ES_tradnl"/>
        </w:rPr>
        <w:t>. Complementos de discapacidad y monoparentalidad del ingreso mínimo vital.</w:t>
      </w:r>
    </w:p>
    <w:p w14:paraId="717FDDE9" w14:textId="77777777" w:rsidR="00A201F4" w:rsidRPr="001B4E07" w:rsidRDefault="00A201F4" w:rsidP="00F63177">
      <w:pPr>
        <w:spacing w:after="0" w:line="240" w:lineRule="auto"/>
        <w:rPr>
          <w:rFonts w:ascii="Arial" w:hAnsi="Arial" w:cs="Arial"/>
          <w:i/>
          <w:iCs/>
          <w:szCs w:val="22"/>
          <w:lang w:val="es-ES_tradnl"/>
        </w:rPr>
      </w:pPr>
    </w:p>
    <w:p w14:paraId="51712130" w14:textId="77777777" w:rsidR="00A201F4" w:rsidRPr="001B4E07" w:rsidRDefault="00A201F4" w:rsidP="00F63177">
      <w:pPr>
        <w:spacing w:after="0" w:line="240" w:lineRule="auto"/>
        <w:rPr>
          <w:rFonts w:ascii="Arial" w:hAnsi="Arial" w:cs="Arial"/>
          <w:szCs w:val="22"/>
          <w:lang w:val="es-ES_tradnl"/>
        </w:rPr>
      </w:pPr>
      <w:r w:rsidRPr="001B4E07">
        <w:rPr>
          <w:rFonts w:ascii="Arial" w:hAnsi="Arial" w:cs="Arial"/>
          <w:szCs w:val="22"/>
          <w:lang w:val="es-ES_tradnl"/>
        </w:rPr>
        <w:t xml:space="preserve">El derecho a percibir los </w:t>
      </w:r>
      <w:bookmarkStart w:id="6" w:name="_Hlk106272954"/>
      <w:r w:rsidRPr="001B4E07">
        <w:rPr>
          <w:rFonts w:ascii="Arial" w:hAnsi="Arial" w:cs="Arial"/>
          <w:szCs w:val="22"/>
          <w:lang w:val="es-ES_tradnl"/>
        </w:rPr>
        <w:t xml:space="preserve">complementos de discapacidad y monoparentalidad </w:t>
      </w:r>
      <w:bookmarkEnd w:id="6"/>
      <w:r w:rsidRPr="001B4E07">
        <w:rPr>
          <w:rFonts w:ascii="Arial" w:hAnsi="Arial" w:cs="Arial"/>
          <w:szCs w:val="22"/>
          <w:lang w:val="es-ES_tradnl"/>
        </w:rPr>
        <w:t xml:space="preserve">a que se refieren las letras a), b), c) y d) del artículo 13.2 </w:t>
      </w:r>
      <w:bookmarkStart w:id="7" w:name="_Hlk106271512"/>
      <w:r w:rsidRPr="001B4E07">
        <w:rPr>
          <w:rFonts w:ascii="Arial" w:hAnsi="Arial" w:cs="Arial"/>
          <w:szCs w:val="22"/>
          <w:lang w:val="es-ES_tradnl"/>
        </w:rPr>
        <w:t>de la Ley 19/2021</w:t>
      </w:r>
      <w:r w:rsidRPr="001B4E07">
        <w:rPr>
          <w:rFonts w:ascii="Arial" w:hAnsi="Arial" w:cs="Arial"/>
          <w:szCs w:val="22"/>
        </w:rPr>
        <w:t>, de 20 de diciembre, por la que se establece el ingreso mínimo vital,</w:t>
      </w:r>
      <w:r w:rsidRPr="001B4E07">
        <w:rPr>
          <w:rFonts w:ascii="Arial" w:hAnsi="Arial" w:cs="Arial"/>
          <w:szCs w:val="22"/>
          <w:lang w:val="es-ES_tradnl"/>
        </w:rPr>
        <w:t xml:space="preserve"> </w:t>
      </w:r>
      <w:bookmarkEnd w:id="7"/>
      <w:r w:rsidRPr="001B4E07">
        <w:rPr>
          <w:rFonts w:ascii="Arial" w:hAnsi="Arial" w:cs="Arial"/>
          <w:szCs w:val="22"/>
          <w:lang w:val="es-ES_tradnl"/>
        </w:rPr>
        <w:t xml:space="preserve">se mantendrá hasta el 31 de diciembre del ejercicio en curso, aunque durante el mismo dejen de concurrir los motivos que dieron lugar a su concesión. </w:t>
      </w:r>
    </w:p>
    <w:p w14:paraId="7C131DDA" w14:textId="77777777" w:rsidR="00A201F4" w:rsidRPr="001B4E07" w:rsidRDefault="00A201F4" w:rsidP="00F63177">
      <w:pPr>
        <w:spacing w:after="0" w:line="240" w:lineRule="auto"/>
        <w:rPr>
          <w:rFonts w:ascii="Arial" w:hAnsi="Arial" w:cs="Arial"/>
          <w:szCs w:val="22"/>
          <w:lang w:val="es-ES_tradnl"/>
        </w:rPr>
      </w:pPr>
    </w:p>
    <w:p w14:paraId="046D3839" w14:textId="4380123A" w:rsidR="00A201F4" w:rsidRPr="00261040" w:rsidRDefault="00A201F4" w:rsidP="00F63177">
      <w:pPr>
        <w:spacing w:after="0" w:line="240" w:lineRule="auto"/>
        <w:rPr>
          <w:rFonts w:ascii="Arial" w:hAnsi="Arial" w:cs="Arial"/>
          <w:b/>
          <w:bCs/>
          <w:i/>
          <w:iCs/>
          <w:szCs w:val="22"/>
        </w:rPr>
      </w:pPr>
      <w:r w:rsidRPr="00261040">
        <w:rPr>
          <w:rFonts w:ascii="Arial" w:hAnsi="Arial" w:cs="Arial"/>
          <w:b/>
          <w:bCs/>
          <w:i/>
          <w:iCs/>
          <w:szCs w:val="22"/>
          <w:lang w:val="es-ES_tradnl"/>
        </w:rPr>
        <w:lastRenderedPageBreak/>
        <w:t xml:space="preserve">Disposición final </w:t>
      </w:r>
      <w:r w:rsidR="00DF6AAD" w:rsidRPr="00261040">
        <w:rPr>
          <w:rFonts w:ascii="Arial" w:hAnsi="Arial" w:cs="Arial"/>
          <w:b/>
          <w:bCs/>
          <w:i/>
          <w:iCs/>
          <w:szCs w:val="22"/>
          <w:lang w:val="es-ES_tradnl"/>
        </w:rPr>
        <w:t>primera</w:t>
      </w:r>
      <w:r w:rsidRPr="00261040">
        <w:rPr>
          <w:rFonts w:ascii="Arial" w:hAnsi="Arial" w:cs="Arial"/>
          <w:b/>
          <w:bCs/>
          <w:i/>
          <w:iCs/>
          <w:szCs w:val="22"/>
          <w:lang w:val="es-ES_tradnl"/>
        </w:rPr>
        <w:t>. Modificación del Real Decreto 148/1996, de 5 de febrero, por el que se regula el procedimiento especial para el reintegro de las prestaciones de la Seguridad Social indebidamente percibidas</w:t>
      </w:r>
      <w:r w:rsidRPr="00261040">
        <w:rPr>
          <w:rFonts w:ascii="Arial" w:hAnsi="Arial" w:cs="Arial"/>
          <w:b/>
          <w:bCs/>
          <w:i/>
          <w:iCs/>
          <w:szCs w:val="22"/>
        </w:rPr>
        <w:t>.</w:t>
      </w:r>
    </w:p>
    <w:p w14:paraId="6D129847" w14:textId="77777777" w:rsidR="00A201F4" w:rsidRPr="001B4E07" w:rsidRDefault="00A201F4" w:rsidP="00F63177">
      <w:pPr>
        <w:spacing w:after="0" w:line="240" w:lineRule="auto"/>
        <w:rPr>
          <w:rFonts w:ascii="Arial" w:hAnsi="Arial" w:cs="Arial"/>
          <w:szCs w:val="22"/>
        </w:rPr>
      </w:pPr>
    </w:p>
    <w:p w14:paraId="7D68D71F" w14:textId="77777777" w:rsidR="00A201F4" w:rsidRPr="001B4E07" w:rsidRDefault="00A201F4" w:rsidP="00F63177">
      <w:pPr>
        <w:spacing w:after="0" w:line="240" w:lineRule="auto"/>
        <w:rPr>
          <w:rFonts w:ascii="Arial" w:hAnsi="Arial" w:cs="Arial"/>
          <w:szCs w:val="22"/>
        </w:rPr>
      </w:pPr>
      <w:r w:rsidRPr="001B4E07">
        <w:rPr>
          <w:rFonts w:ascii="Arial" w:hAnsi="Arial" w:cs="Arial"/>
          <w:szCs w:val="22"/>
        </w:rPr>
        <w:t>Se añade un nuevo apartado 3 al artículo 1 del Real Decreto 148/1996, de 5 de febrero, por el que se regula el procedimiento especial para el reintegro de las prestaciones de la Seguridad Social indebidamente percibidas, con la siguiente redacción:</w:t>
      </w:r>
    </w:p>
    <w:p w14:paraId="3A11BFDE" w14:textId="77777777" w:rsidR="00A201F4" w:rsidRPr="001B4E07" w:rsidRDefault="00A201F4" w:rsidP="00F63177">
      <w:pPr>
        <w:spacing w:after="0" w:line="240" w:lineRule="auto"/>
        <w:rPr>
          <w:rFonts w:ascii="Arial" w:hAnsi="Arial" w:cs="Arial"/>
          <w:szCs w:val="22"/>
        </w:rPr>
      </w:pPr>
    </w:p>
    <w:p w14:paraId="55FA6803" w14:textId="77777777" w:rsidR="00A201F4" w:rsidRPr="001B4E07" w:rsidRDefault="00A201F4" w:rsidP="00F63177">
      <w:pPr>
        <w:spacing w:after="0" w:line="240" w:lineRule="auto"/>
        <w:rPr>
          <w:rFonts w:ascii="Arial" w:hAnsi="Arial" w:cs="Arial"/>
          <w:szCs w:val="22"/>
        </w:rPr>
      </w:pPr>
      <w:r w:rsidRPr="001B4E07">
        <w:rPr>
          <w:rFonts w:ascii="Arial" w:hAnsi="Arial" w:cs="Arial"/>
          <w:szCs w:val="22"/>
        </w:rPr>
        <w:t xml:space="preserve">3. En aplicación de los principios de economía y eficacia administrativa, no se iniciará el procedimiento especial de reintegro regulado en este real decreto cuando el importe total de la deuda que resulte de las actuaciones previstas en este artículo sea inferior a la cantidad determinada como insuficiente para la cobertura del coste que su exacción y recaudación represente, de acuerdo con lo previsto en el artículo 116.2 del texto refundido de la Ley General de la Seguridad Social, aprobado por el Real Decreto legislativo 8/2015, de 30 de octubre, y del  artículo 6.5 del Reglamento General de Recaudación de la Seguridad Social, aprobado por el Real Decreto 1415/2004, de 11 de junio.  </w:t>
      </w:r>
    </w:p>
    <w:p w14:paraId="0275160F" w14:textId="77777777" w:rsidR="00A201F4" w:rsidRPr="001B4E07" w:rsidRDefault="00A201F4" w:rsidP="00F63177">
      <w:pPr>
        <w:spacing w:after="0" w:line="240" w:lineRule="auto"/>
        <w:rPr>
          <w:rFonts w:ascii="Arial" w:hAnsi="Arial" w:cs="Arial"/>
          <w:szCs w:val="22"/>
        </w:rPr>
      </w:pPr>
    </w:p>
    <w:p w14:paraId="60DBDE31" w14:textId="77777777" w:rsidR="00A201F4" w:rsidRPr="001B4E07" w:rsidRDefault="00A201F4" w:rsidP="00F63177">
      <w:pPr>
        <w:spacing w:after="0" w:line="240" w:lineRule="auto"/>
        <w:rPr>
          <w:rFonts w:ascii="Arial" w:hAnsi="Arial" w:cs="Arial"/>
          <w:szCs w:val="22"/>
        </w:rPr>
      </w:pPr>
      <w:r w:rsidRPr="001B4E07">
        <w:rPr>
          <w:rFonts w:ascii="Arial" w:hAnsi="Arial" w:cs="Arial"/>
          <w:szCs w:val="22"/>
        </w:rPr>
        <w:t>En todo caso, la entidad gestora podrá acordar la acumulación de las deudas que no excedan de dicho límite al objeto de superar la citada cantidad, o la de tales deudas con otras de importe superior, siempre que todas ellas correspondan al mismo deudor y al reintegro de prestaciones indebidamente percibidas a que se refiere este real decreto.</w:t>
      </w:r>
    </w:p>
    <w:p w14:paraId="6DE7E61A" w14:textId="77777777" w:rsidR="00A201F4" w:rsidRPr="001B4E07" w:rsidRDefault="00A201F4" w:rsidP="00F63177">
      <w:pPr>
        <w:spacing w:after="0" w:line="240" w:lineRule="auto"/>
        <w:rPr>
          <w:rFonts w:ascii="Arial" w:hAnsi="Arial" w:cs="Arial"/>
          <w:szCs w:val="22"/>
          <w:lang w:val="es-ES_tradnl"/>
        </w:rPr>
      </w:pPr>
    </w:p>
    <w:p w14:paraId="74735E4A" w14:textId="731695F9" w:rsidR="00A201F4" w:rsidRPr="00261040" w:rsidRDefault="00A201F4" w:rsidP="00F63177">
      <w:pPr>
        <w:spacing w:after="0" w:line="240" w:lineRule="auto"/>
        <w:rPr>
          <w:rFonts w:ascii="Arial" w:hAnsi="Arial" w:cs="Arial"/>
          <w:b/>
          <w:bCs/>
          <w:i/>
          <w:iCs/>
          <w:szCs w:val="22"/>
          <w:lang w:val="es-ES_tradnl"/>
        </w:rPr>
      </w:pPr>
      <w:r w:rsidRPr="00261040">
        <w:rPr>
          <w:rFonts w:ascii="Arial" w:hAnsi="Arial" w:cs="Arial"/>
          <w:b/>
          <w:bCs/>
          <w:i/>
          <w:iCs/>
          <w:szCs w:val="22"/>
          <w:lang w:val="es-ES_tradnl"/>
        </w:rPr>
        <w:t>Disposición final</w:t>
      </w:r>
      <w:r w:rsidR="0070572F" w:rsidRPr="00261040">
        <w:rPr>
          <w:rFonts w:ascii="Arial" w:hAnsi="Arial" w:cs="Arial"/>
          <w:b/>
          <w:bCs/>
          <w:i/>
          <w:iCs/>
          <w:szCs w:val="22"/>
          <w:lang w:val="es-ES_tradnl"/>
        </w:rPr>
        <w:t xml:space="preserve"> </w:t>
      </w:r>
      <w:r w:rsidR="00DF6AAD" w:rsidRPr="00261040">
        <w:rPr>
          <w:rFonts w:ascii="Arial" w:hAnsi="Arial" w:cs="Arial"/>
          <w:b/>
          <w:bCs/>
          <w:i/>
          <w:iCs/>
          <w:szCs w:val="22"/>
          <w:lang w:val="es-ES_tradnl"/>
        </w:rPr>
        <w:t>segunda</w:t>
      </w:r>
      <w:r w:rsidR="0070572F" w:rsidRPr="00261040">
        <w:rPr>
          <w:rFonts w:ascii="Arial" w:hAnsi="Arial" w:cs="Arial"/>
          <w:b/>
          <w:bCs/>
          <w:i/>
          <w:iCs/>
          <w:szCs w:val="22"/>
          <w:lang w:val="es-ES_tradnl"/>
        </w:rPr>
        <w:t>.</w:t>
      </w:r>
      <w:r w:rsidRPr="00261040">
        <w:rPr>
          <w:rFonts w:ascii="Arial" w:hAnsi="Arial" w:cs="Arial"/>
          <w:b/>
          <w:bCs/>
          <w:i/>
          <w:iCs/>
          <w:szCs w:val="22"/>
          <w:lang w:val="es-ES_tradnl"/>
        </w:rPr>
        <w:t xml:space="preserve"> Entrada en vigor</w:t>
      </w:r>
    </w:p>
    <w:p w14:paraId="08F53DFD" w14:textId="77777777" w:rsidR="00A201F4" w:rsidRPr="001B4E07" w:rsidRDefault="00A201F4" w:rsidP="00F63177">
      <w:pPr>
        <w:spacing w:after="0" w:line="240" w:lineRule="auto"/>
        <w:rPr>
          <w:rFonts w:ascii="Arial" w:hAnsi="Arial" w:cs="Arial"/>
          <w:szCs w:val="22"/>
          <w:lang w:val="es-ES_tradnl"/>
        </w:rPr>
      </w:pPr>
    </w:p>
    <w:p w14:paraId="4357C530" w14:textId="77777777" w:rsidR="00A201F4" w:rsidRPr="001B4E07" w:rsidRDefault="00A201F4" w:rsidP="00F63177">
      <w:pPr>
        <w:spacing w:after="0" w:line="240" w:lineRule="auto"/>
        <w:rPr>
          <w:rFonts w:ascii="Arial" w:hAnsi="Arial" w:cs="Arial"/>
          <w:szCs w:val="22"/>
          <w:lang w:val="es-ES_tradnl"/>
        </w:rPr>
      </w:pPr>
      <w:r w:rsidRPr="001B4E07">
        <w:rPr>
          <w:rFonts w:ascii="Arial" w:hAnsi="Arial" w:cs="Arial"/>
          <w:szCs w:val="22"/>
        </w:rPr>
        <w:t>El presente real decreto entrará en vigor el día 1 de enero de 2023.</w:t>
      </w:r>
    </w:p>
    <w:p w14:paraId="7F027B79" w14:textId="77777777" w:rsidR="000D5F11" w:rsidRPr="001B4E07" w:rsidRDefault="000D5F11" w:rsidP="00F63177">
      <w:pPr>
        <w:spacing w:after="0" w:line="240" w:lineRule="auto"/>
        <w:rPr>
          <w:rFonts w:ascii="Arial" w:hAnsi="Arial" w:cs="Arial"/>
          <w:szCs w:val="22"/>
        </w:rPr>
      </w:pPr>
    </w:p>
    <w:bookmarkEnd w:id="5"/>
    <w:p w14:paraId="35C559A0" w14:textId="24D64E32" w:rsidR="001B6040" w:rsidRPr="00A201F4" w:rsidRDefault="001B6040" w:rsidP="00F63177">
      <w:pPr>
        <w:spacing w:after="800" w:line="360" w:lineRule="auto"/>
        <w:rPr>
          <w:rFonts w:ascii="Arial" w:hAnsi="Arial" w:cs="Arial"/>
          <w:szCs w:val="22"/>
        </w:rPr>
      </w:pPr>
    </w:p>
    <w:sectPr w:rsidR="001B6040" w:rsidRPr="00A201F4" w:rsidSect="007B2901">
      <w:headerReference w:type="default" r:id="rId11"/>
      <w:footerReference w:type="default" r:id="rId12"/>
      <w:headerReference w:type="first" r:id="rId13"/>
      <w:footerReference w:type="first" r:id="rId14"/>
      <w:pgSz w:w="11906" w:h="16838" w:code="9"/>
      <w:pgMar w:top="2268" w:right="1134" w:bottom="1134" w:left="2268" w:header="851" w:footer="21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C780B" w14:textId="77777777" w:rsidR="004B25B8" w:rsidRDefault="004B25B8">
      <w:r>
        <w:separator/>
      </w:r>
    </w:p>
  </w:endnote>
  <w:endnote w:type="continuationSeparator" w:id="0">
    <w:p w14:paraId="4ABA8A0E" w14:textId="77777777" w:rsidR="004B25B8" w:rsidRDefault="004B2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ydian">
    <w:altName w:val="Segoe U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44" w:type="dxa"/>
      <w:tblInd w:w="-1418" w:type="dxa"/>
      <w:tblLayout w:type="fixed"/>
      <w:tblCellMar>
        <w:left w:w="70" w:type="dxa"/>
        <w:right w:w="70" w:type="dxa"/>
      </w:tblCellMar>
      <w:tblLook w:val="0000" w:firstRow="0" w:lastRow="0" w:firstColumn="0" w:lastColumn="0" w:noHBand="0" w:noVBand="0"/>
    </w:tblPr>
    <w:tblGrid>
      <w:gridCol w:w="10844"/>
    </w:tblGrid>
    <w:tr w:rsidR="00EC6FBD" w:rsidRPr="001A1871" w14:paraId="013A0EA4" w14:textId="77777777">
      <w:trPr>
        <w:cantSplit/>
      </w:trPr>
      <w:tc>
        <w:tcPr>
          <w:tcW w:w="10844" w:type="dxa"/>
          <w:vAlign w:val="bottom"/>
        </w:tcPr>
        <w:p w14:paraId="759F7435" w14:textId="77777777" w:rsidR="00EC6FBD" w:rsidRPr="001A1871" w:rsidRDefault="00EC6FBD">
          <w:pPr>
            <w:spacing w:after="0" w:line="240" w:lineRule="auto"/>
            <w:jc w:val="center"/>
            <w:rPr>
              <w:rFonts w:asciiTheme="minorHAnsi" w:hAnsiTheme="minorHAnsi" w:cs="Arial"/>
              <w:sz w:val="12"/>
              <w:szCs w:val="12"/>
            </w:rPr>
          </w:pPr>
          <w:r w:rsidRPr="001A1871">
            <w:rPr>
              <w:rFonts w:asciiTheme="minorHAnsi" w:hAnsiTheme="minorHAnsi" w:cs="Arial"/>
              <w:sz w:val="12"/>
              <w:szCs w:val="12"/>
            </w:rPr>
            <w:t xml:space="preserve">~ </w:t>
          </w:r>
          <w:r w:rsidR="00CD38AC" w:rsidRPr="001A1871">
            <w:rPr>
              <w:rFonts w:asciiTheme="minorHAnsi" w:hAnsiTheme="minorHAnsi" w:cs="Arial"/>
              <w:sz w:val="12"/>
              <w:szCs w:val="12"/>
            </w:rPr>
            <w:fldChar w:fldCharType="begin"/>
          </w:r>
          <w:r w:rsidRPr="001A1871">
            <w:rPr>
              <w:rFonts w:asciiTheme="minorHAnsi" w:hAnsiTheme="minorHAnsi" w:cs="Arial"/>
              <w:sz w:val="12"/>
              <w:szCs w:val="12"/>
            </w:rPr>
            <w:instrText xml:space="preserve"> PAGE </w:instrText>
          </w:r>
          <w:r w:rsidR="00CD38AC" w:rsidRPr="001A1871">
            <w:rPr>
              <w:rFonts w:asciiTheme="minorHAnsi" w:hAnsiTheme="minorHAnsi" w:cs="Arial"/>
              <w:sz w:val="12"/>
              <w:szCs w:val="12"/>
            </w:rPr>
            <w:fldChar w:fldCharType="separate"/>
          </w:r>
          <w:r w:rsidR="006E6B1C">
            <w:rPr>
              <w:rFonts w:asciiTheme="minorHAnsi" w:hAnsiTheme="minorHAnsi" w:cs="Arial"/>
              <w:noProof/>
              <w:sz w:val="12"/>
              <w:szCs w:val="12"/>
            </w:rPr>
            <w:t>8</w:t>
          </w:r>
          <w:r w:rsidR="00CD38AC" w:rsidRPr="001A1871">
            <w:rPr>
              <w:rFonts w:asciiTheme="minorHAnsi" w:hAnsiTheme="minorHAnsi" w:cs="Arial"/>
              <w:sz w:val="12"/>
              <w:szCs w:val="12"/>
            </w:rPr>
            <w:fldChar w:fldCharType="end"/>
          </w:r>
          <w:r w:rsidRPr="001A1871">
            <w:rPr>
              <w:rFonts w:asciiTheme="minorHAnsi" w:hAnsiTheme="minorHAnsi" w:cs="Arial"/>
              <w:sz w:val="12"/>
              <w:szCs w:val="12"/>
            </w:rPr>
            <w:t xml:space="preserve"> ~</w:t>
          </w:r>
        </w:p>
      </w:tc>
    </w:tr>
  </w:tbl>
  <w:p w14:paraId="2B5066F2" w14:textId="77777777" w:rsidR="00EC6FBD" w:rsidRDefault="00EC6FBD">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44" w:type="dxa"/>
      <w:tblInd w:w="-1418" w:type="dxa"/>
      <w:tblLayout w:type="fixed"/>
      <w:tblCellMar>
        <w:left w:w="70" w:type="dxa"/>
        <w:right w:w="70" w:type="dxa"/>
      </w:tblCellMar>
      <w:tblLook w:val="0000" w:firstRow="0" w:lastRow="0" w:firstColumn="0" w:lastColumn="0" w:noHBand="0" w:noVBand="0"/>
    </w:tblPr>
    <w:tblGrid>
      <w:gridCol w:w="10844"/>
    </w:tblGrid>
    <w:tr w:rsidR="00EC6FBD" w14:paraId="14F180F8" w14:textId="77777777">
      <w:trPr>
        <w:cantSplit/>
      </w:trPr>
      <w:tc>
        <w:tcPr>
          <w:tcW w:w="10844" w:type="dxa"/>
          <w:vAlign w:val="bottom"/>
        </w:tcPr>
        <w:p w14:paraId="6F39BC16" w14:textId="77777777" w:rsidR="00EC6FBD" w:rsidRDefault="00EC6FBD">
          <w:pPr>
            <w:spacing w:after="0" w:line="240" w:lineRule="auto"/>
            <w:jc w:val="center"/>
            <w:rPr>
              <w:rFonts w:cs="Arial"/>
              <w:sz w:val="10"/>
            </w:rPr>
          </w:pPr>
        </w:p>
      </w:tc>
    </w:tr>
  </w:tbl>
  <w:p w14:paraId="0FED7001" w14:textId="77777777" w:rsidR="00EC6FBD" w:rsidRDefault="00EC6FBD">
    <w:pPr>
      <w:pStyle w:val="Piedepgina"/>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CDF69" w14:textId="77777777" w:rsidR="004B25B8" w:rsidRDefault="004B25B8">
      <w:r>
        <w:separator/>
      </w:r>
    </w:p>
  </w:footnote>
  <w:footnote w:type="continuationSeparator" w:id="0">
    <w:p w14:paraId="53EEB658" w14:textId="77777777" w:rsidR="004B25B8" w:rsidRDefault="004B2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276" w:type="dxa"/>
      <w:tblInd w:w="7524" w:type="dxa"/>
      <w:tblLayout w:type="fixed"/>
      <w:tblCellMar>
        <w:left w:w="70" w:type="dxa"/>
        <w:right w:w="70" w:type="dxa"/>
      </w:tblCellMar>
      <w:tblLook w:val="0000" w:firstRow="0" w:lastRow="0" w:firstColumn="0" w:lastColumn="0" w:noHBand="0" w:noVBand="0"/>
    </w:tblPr>
    <w:tblGrid>
      <w:gridCol w:w="1276"/>
    </w:tblGrid>
    <w:tr w:rsidR="003800DD" w14:paraId="59211396" w14:textId="77777777" w:rsidTr="00873B43">
      <w:trPr>
        <w:trHeight w:hRule="exact" w:val="1175"/>
      </w:trPr>
      <w:tc>
        <w:tcPr>
          <w:tcW w:w="1276" w:type="dxa"/>
        </w:tcPr>
        <w:p w14:paraId="20AC42C6" w14:textId="1E2FC5A4" w:rsidR="003800DD" w:rsidRPr="003D2B40" w:rsidRDefault="003800DD" w:rsidP="00D26A31">
          <w:pPr>
            <w:pStyle w:val="Encabezado"/>
            <w:rPr>
              <w:sz w:val="16"/>
              <w:szCs w:val="16"/>
            </w:rPr>
          </w:pPr>
        </w:p>
        <w:p w14:paraId="0B8A7116" w14:textId="77777777" w:rsidR="003800DD" w:rsidRPr="003D2B40" w:rsidRDefault="003800DD" w:rsidP="00D26A31">
          <w:pPr>
            <w:pStyle w:val="Encabezado"/>
            <w:rPr>
              <w:sz w:val="16"/>
              <w:szCs w:val="16"/>
            </w:rPr>
          </w:pPr>
        </w:p>
      </w:tc>
    </w:tr>
  </w:tbl>
  <w:p w14:paraId="64F93CFA" w14:textId="77777777" w:rsidR="003800DD" w:rsidRDefault="003800DD" w:rsidP="003800DD">
    <w:pPr>
      <w:pStyle w:val="Encabezado"/>
      <w:spacing w:after="5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434" w:type="dxa"/>
      <w:tblInd w:w="-1418" w:type="dxa"/>
      <w:tblLayout w:type="fixed"/>
      <w:tblCellMar>
        <w:left w:w="70" w:type="dxa"/>
        <w:right w:w="70" w:type="dxa"/>
      </w:tblCellMar>
      <w:tblLook w:val="0000" w:firstRow="0" w:lastRow="0" w:firstColumn="0" w:lastColumn="0" w:noHBand="0" w:noVBand="0"/>
    </w:tblPr>
    <w:tblGrid>
      <w:gridCol w:w="1204"/>
      <w:gridCol w:w="7230"/>
    </w:tblGrid>
    <w:tr w:rsidR="003A7BE1" w:rsidRPr="001820C7" w14:paraId="19F5D53B" w14:textId="77777777" w:rsidTr="003A7BE1">
      <w:trPr>
        <w:cantSplit/>
        <w:trHeight w:val="186"/>
      </w:trPr>
      <w:tc>
        <w:tcPr>
          <w:tcW w:w="1204" w:type="dxa"/>
          <w:vMerge w:val="restart"/>
        </w:tcPr>
        <w:p w14:paraId="3C6197F0" w14:textId="77777777" w:rsidR="003A7BE1" w:rsidRPr="00B50F72" w:rsidRDefault="003A7BE1" w:rsidP="003800DD">
          <w:pPr>
            <w:pStyle w:val="Encabezado"/>
            <w:spacing w:before="1160" w:after="0" w:line="240" w:lineRule="auto"/>
            <w:rPr>
              <w:rFonts w:ascii="Gill Sans MT" w:hAnsi="Gill Sans MT" w:cs="Arial"/>
              <w:sz w:val="16"/>
              <w:szCs w:val="16"/>
            </w:rPr>
          </w:pPr>
          <w:r>
            <w:rPr>
              <w:noProof/>
            </w:rPr>
            <mc:AlternateContent>
              <mc:Choice Requires="wps">
                <w:drawing>
                  <wp:anchor distT="0" distB="0" distL="114300" distR="114300" simplePos="0" relativeHeight="251663360" behindDoc="1" locked="0" layoutInCell="1" allowOverlap="1" wp14:anchorId="2A531828" wp14:editId="50D27180">
                    <wp:simplePos x="0" y="0"/>
                    <wp:positionH relativeFrom="column">
                      <wp:posOffset>-139065</wp:posOffset>
                    </wp:positionH>
                    <wp:positionV relativeFrom="paragraph">
                      <wp:posOffset>-10795</wp:posOffset>
                    </wp:positionV>
                    <wp:extent cx="883920" cy="811530"/>
                    <wp:effectExtent l="0" t="0" r="0" b="762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811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9031EB" w14:textId="77777777" w:rsidR="003A7BE1" w:rsidRDefault="003A7BE1" w:rsidP="003800DD">
                                <w:r>
                                  <w:rPr>
                                    <w:noProof/>
                                  </w:rPr>
                                  <w:drawing>
                                    <wp:inline distT="0" distB="0" distL="0" distR="0" wp14:anchorId="45A611E3" wp14:editId="0F0909E2">
                                      <wp:extent cx="742426" cy="760535"/>
                                      <wp:effectExtent l="0" t="0" r="635" b="1905"/>
                                      <wp:docPr id="3" name="Imagen 3" descr="esc_C_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_C_18"/>
                                              <pic:cNvPicPr>
                                                <a:picLocks noChangeAspect="1" noChangeArrowheads="1"/>
                                              </pic:cNvPicPr>
                                            </pic:nvPicPr>
                                            <pic:blipFill>
                                              <a:blip r:embed="rId1"/>
                                              <a:srcRect/>
                                              <a:stretch>
                                                <a:fillRect/>
                                              </a:stretch>
                                            </pic:blipFill>
                                            <pic:spPr bwMode="auto">
                                              <a:xfrm>
                                                <a:off x="0" y="0"/>
                                                <a:ext cx="743783" cy="7619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531828" id="_x0000_t202" coordsize="21600,21600" o:spt="202" path="m,l,21600r21600,l21600,xe">
                    <v:stroke joinstyle="miter"/>
                    <v:path gradientshapeok="t" o:connecttype="rect"/>
                  </v:shapetype>
                  <v:shape id="Text Box 3" o:spid="_x0000_s1026" type="#_x0000_t202" style="position:absolute;left:0;text-align:left;margin-left:-10.95pt;margin-top:-.85pt;width:69.6pt;height:63.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" stroked="f">
                    <v:textbox>
                      <w:txbxContent>
                        <w:p w14:paraId="0E9031EB" w14:textId="77777777" w:rsidR="003A7BE1" w:rsidRDefault="003A7BE1" w:rsidP="003800DD">
                          <w:r>
                            <w:rPr>
                              <w:noProof/>
                            </w:rPr>
                            <w:drawing>
                              <wp:inline distT="0" distB="0" distL="0" distR="0" wp14:anchorId="45A611E3" wp14:editId="0F0909E2">
                                <wp:extent cx="742426" cy="760535"/>
                                <wp:effectExtent l="0" t="0" r="635" b="1905"/>
                                <wp:docPr id="3" name="Imagen 3" descr="esc_C_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_C_18"/>
                                        <pic:cNvPicPr>
                                          <a:picLocks noChangeAspect="1" noChangeArrowheads="1"/>
                                        </pic:cNvPicPr>
                                      </pic:nvPicPr>
                                      <pic:blipFill>
                                        <a:blip r:embed="rId1"/>
                                        <a:srcRect/>
                                        <a:stretch>
                                          <a:fillRect/>
                                        </a:stretch>
                                      </pic:blipFill>
                                      <pic:spPr bwMode="auto">
                                        <a:xfrm>
                                          <a:off x="0" y="0"/>
                                          <a:ext cx="743783" cy="761925"/>
                                        </a:xfrm>
                                        <a:prstGeom prst="rect">
                                          <a:avLst/>
                                        </a:prstGeom>
                                        <a:noFill/>
                                        <a:ln w="9525">
                                          <a:noFill/>
                                          <a:miter lim="800000"/>
                                          <a:headEnd/>
                                          <a:tailEnd/>
                                        </a:ln>
                                      </pic:spPr>
                                    </pic:pic>
                                  </a:graphicData>
                                </a:graphic>
                              </wp:inline>
                            </w:drawing>
                          </w:r>
                        </w:p>
                      </w:txbxContent>
                    </v:textbox>
                  </v:shape>
                </w:pict>
              </mc:Fallback>
            </mc:AlternateContent>
          </w:r>
        </w:p>
      </w:tc>
      <w:tc>
        <w:tcPr>
          <w:tcW w:w="7230" w:type="dxa"/>
          <w:vMerge w:val="restart"/>
        </w:tcPr>
        <w:p w14:paraId="070E93D4" w14:textId="77777777" w:rsidR="003A7BE1" w:rsidRDefault="003A7BE1" w:rsidP="003800DD">
          <w:pPr>
            <w:pStyle w:val="Encabezado"/>
            <w:spacing w:before="480" w:after="0" w:line="240" w:lineRule="auto"/>
            <w:jc w:val="left"/>
            <w:rPr>
              <w:rFonts w:ascii="Gill Sans MT" w:hAnsi="Gill Sans MT"/>
            </w:rPr>
          </w:pPr>
          <w:r>
            <w:rPr>
              <w:rFonts w:ascii="Gill Sans MT" w:hAnsi="Gill Sans MT"/>
            </w:rPr>
            <w:t xml:space="preserve">MINISTERIO </w:t>
          </w:r>
        </w:p>
        <w:p w14:paraId="5549E3FC" w14:textId="0C982675" w:rsidR="003A7BE1" w:rsidRDefault="003A7BE1" w:rsidP="00717965">
          <w:pPr>
            <w:pStyle w:val="Encabezado"/>
            <w:spacing w:after="0" w:line="240" w:lineRule="auto"/>
            <w:jc w:val="left"/>
            <w:rPr>
              <w:rFonts w:ascii="Gill Sans MT" w:hAnsi="Gill Sans MT"/>
            </w:rPr>
          </w:pPr>
          <w:r>
            <w:rPr>
              <w:rFonts w:ascii="Gill Sans MT" w:hAnsi="Gill Sans MT"/>
            </w:rPr>
            <w:t xml:space="preserve">DE INCLUSIÓN, SEGURIDAD SOCIAL </w:t>
          </w:r>
        </w:p>
        <w:p w14:paraId="0EBC2EB0" w14:textId="77777777" w:rsidR="003A7BE1" w:rsidRPr="001820C7" w:rsidRDefault="003A7BE1" w:rsidP="00717965">
          <w:pPr>
            <w:pStyle w:val="Encabezado"/>
            <w:spacing w:after="0" w:line="240" w:lineRule="auto"/>
            <w:jc w:val="left"/>
            <w:rPr>
              <w:rFonts w:ascii="Gill Sans MT" w:hAnsi="Gill Sans MT"/>
            </w:rPr>
          </w:pPr>
          <w:r>
            <w:rPr>
              <w:rFonts w:ascii="Gill Sans MT" w:hAnsi="Gill Sans MT"/>
            </w:rPr>
            <w:t>Y MIGRACIONES</w:t>
          </w:r>
        </w:p>
      </w:tc>
    </w:tr>
    <w:tr w:rsidR="003A7BE1" w:rsidRPr="001820C7" w14:paraId="29A3EC34" w14:textId="77777777" w:rsidTr="003A7BE1">
      <w:trPr>
        <w:cantSplit/>
        <w:trHeight w:val="995"/>
      </w:trPr>
      <w:tc>
        <w:tcPr>
          <w:tcW w:w="1204" w:type="dxa"/>
          <w:vMerge/>
        </w:tcPr>
        <w:p w14:paraId="0701F0B5" w14:textId="77777777" w:rsidR="003A7BE1" w:rsidRPr="001820C7" w:rsidRDefault="003A7BE1" w:rsidP="00D26A31">
          <w:pPr>
            <w:pStyle w:val="Encabezado"/>
            <w:rPr>
              <w:rFonts w:ascii="Gill Sans MT" w:hAnsi="Gill Sans MT"/>
            </w:rPr>
          </w:pPr>
        </w:p>
      </w:tc>
      <w:tc>
        <w:tcPr>
          <w:tcW w:w="7230" w:type="dxa"/>
          <w:vMerge/>
        </w:tcPr>
        <w:p w14:paraId="707C1309" w14:textId="77777777" w:rsidR="003A7BE1" w:rsidRPr="001820C7" w:rsidRDefault="003A7BE1" w:rsidP="00D26A31">
          <w:pPr>
            <w:pStyle w:val="Encabezado"/>
            <w:rPr>
              <w:rFonts w:ascii="Gill Sans MT" w:hAnsi="Gill Sans MT"/>
            </w:rPr>
          </w:pPr>
        </w:p>
      </w:tc>
    </w:tr>
  </w:tbl>
  <w:p w14:paraId="10A95E69" w14:textId="77777777" w:rsidR="003800DD" w:rsidRDefault="003800DD" w:rsidP="003800DD">
    <w:pPr>
      <w:pStyle w:val="Encabezado"/>
      <w:spacing w:after="10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1"/>
    <w:multiLevelType w:val="multilevel"/>
    <w:tmpl w:val="88464C9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02814D45"/>
    <w:multiLevelType w:val="hybridMultilevel"/>
    <w:tmpl w:val="DBACE026"/>
    <w:lvl w:ilvl="0" w:tplc="AAB8EFF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A2712D"/>
    <w:multiLevelType w:val="hybridMultilevel"/>
    <w:tmpl w:val="6FB036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2690922"/>
    <w:multiLevelType w:val="hybridMultilevel"/>
    <w:tmpl w:val="026C50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3B4108A"/>
    <w:multiLevelType w:val="hybridMultilevel"/>
    <w:tmpl w:val="7E061144"/>
    <w:lvl w:ilvl="0" w:tplc="CE74ED66">
      <w:start w:val="1"/>
      <w:numFmt w:val="decimal"/>
      <w:lvlText w:val="%1."/>
      <w:lvlJc w:val="left"/>
      <w:pPr>
        <w:ind w:left="720" w:hanging="360"/>
      </w:pPr>
      <w:rPr>
        <w:rFonts w:hint="default"/>
        <w: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B750E0A"/>
    <w:multiLevelType w:val="hybridMultilevel"/>
    <w:tmpl w:val="7A76A2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D003D60"/>
    <w:multiLevelType w:val="hybridMultilevel"/>
    <w:tmpl w:val="6A801C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68C72C8"/>
    <w:multiLevelType w:val="hybridMultilevel"/>
    <w:tmpl w:val="A3B4A204"/>
    <w:lvl w:ilvl="0" w:tplc="F2068C78">
      <w:start w:val="1"/>
      <w:numFmt w:val="lowerLetter"/>
      <w:lvlText w:val="%1)"/>
      <w:lvlJc w:val="left"/>
      <w:pPr>
        <w:ind w:left="720" w:hanging="360"/>
      </w:pPr>
      <w:rPr>
        <w:rFonts w:ascii="Arial" w:eastAsia="Times New Roman" w:hAnsi="Arial"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72033ED"/>
    <w:multiLevelType w:val="multilevel"/>
    <w:tmpl w:val="7FF6710A"/>
    <w:lvl w:ilvl="0">
      <w:start w:val="1"/>
      <w:numFmt w:val="decimal"/>
      <w:lvlText w:val="%1."/>
      <w:lvlJc w:val="left"/>
      <w:pPr>
        <w:ind w:left="1188" w:hanging="480"/>
      </w:pPr>
    </w:lvl>
    <w:lvl w:ilvl="1">
      <w:numFmt w:val="bullet"/>
      <w:lvlText w:val="–"/>
      <w:lvlJc w:val="left"/>
      <w:pPr>
        <w:ind w:left="1908" w:hanging="480"/>
      </w:pPr>
    </w:lvl>
    <w:lvl w:ilvl="2">
      <w:numFmt w:val="bullet"/>
      <w:lvlText w:val="•"/>
      <w:lvlJc w:val="left"/>
      <w:pPr>
        <w:ind w:left="2628" w:hanging="480"/>
      </w:pPr>
    </w:lvl>
    <w:lvl w:ilvl="3">
      <w:numFmt w:val="bullet"/>
      <w:lvlText w:val="–"/>
      <w:lvlJc w:val="left"/>
      <w:pPr>
        <w:ind w:left="3348" w:hanging="480"/>
      </w:pPr>
    </w:lvl>
    <w:lvl w:ilvl="4">
      <w:numFmt w:val="bullet"/>
      <w:lvlText w:val="•"/>
      <w:lvlJc w:val="left"/>
      <w:pPr>
        <w:ind w:left="4068" w:hanging="480"/>
      </w:pPr>
    </w:lvl>
    <w:lvl w:ilvl="5">
      <w:numFmt w:val="bullet"/>
      <w:lvlText w:val="–"/>
      <w:lvlJc w:val="left"/>
      <w:pPr>
        <w:ind w:left="4788" w:hanging="480"/>
      </w:pPr>
    </w:lvl>
    <w:lvl w:ilvl="6">
      <w:numFmt w:val="bullet"/>
      <w:lvlText w:val="•"/>
      <w:lvlJc w:val="left"/>
      <w:pPr>
        <w:ind w:left="5508" w:hanging="480"/>
      </w:pPr>
    </w:lvl>
    <w:lvl w:ilvl="7">
      <w:numFmt w:val="bullet"/>
      <w:lvlText w:val="–"/>
      <w:lvlJc w:val="left"/>
      <w:pPr>
        <w:ind w:left="6228" w:hanging="480"/>
      </w:pPr>
    </w:lvl>
    <w:lvl w:ilvl="8">
      <w:numFmt w:val="bullet"/>
      <w:lvlText w:val="•"/>
      <w:lvlJc w:val="left"/>
      <w:pPr>
        <w:ind w:left="6948" w:hanging="480"/>
      </w:pPr>
    </w:lvl>
  </w:abstractNum>
  <w:abstractNum w:abstractNumId="9" w15:restartNumberingAfterBreak="0">
    <w:nsid w:val="338D5D42"/>
    <w:multiLevelType w:val="hybridMultilevel"/>
    <w:tmpl w:val="393E4BF8"/>
    <w:lvl w:ilvl="0" w:tplc="19843A90">
      <w:start w:val="2"/>
      <w:numFmt w:val="bullet"/>
      <w:lvlText w:val="-"/>
      <w:lvlJc w:val="left"/>
      <w:pPr>
        <w:ind w:left="720" w:hanging="360"/>
      </w:pPr>
      <w:rPr>
        <w:rFonts w:ascii="Lydian" w:eastAsia="Times New Roman" w:hAnsi="Lydi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5943D5C"/>
    <w:multiLevelType w:val="hybridMultilevel"/>
    <w:tmpl w:val="06484312"/>
    <w:lvl w:ilvl="0" w:tplc="D99A9D5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8596F50"/>
    <w:multiLevelType w:val="hybridMultilevel"/>
    <w:tmpl w:val="55FC19E4"/>
    <w:lvl w:ilvl="0" w:tplc="82461D62">
      <w:start w:val="1"/>
      <w:numFmt w:val="bullet"/>
      <w:lvlText w:val=""/>
      <w:lvlJc w:val="left"/>
      <w:pPr>
        <w:tabs>
          <w:tab w:val="num" w:pos="454"/>
        </w:tabs>
        <w:ind w:left="454" w:hanging="454"/>
      </w:pPr>
      <w:rPr>
        <w:rFonts w:ascii="Wingdings" w:hAnsi="Wingdings" w:hint="default"/>
        <w:sz w:val="16"/>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C608BE"/>
    <w:multiLevelType w:val="multilevel"/>
    <w:tmpl w:val="153AC2A0"/>
    <w:lvl w:ilvl="0">
      <w:start w:val="1"/>
      <w:numFmt w:val="lowerLetter"/>
      <w:lvlText w:val="%1)"/>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3" w15:restartNumberingAfterBreak="0">
    <w:nsid w:val="57D25976"/>
    <w:multiLevelType w:val="hybridMultilevel"/>
    <w:tmpl w:val="ACD4DED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5A146A4F"/>
    <w:multiLevelType w:val="hybridMultilevel"/>
    <w:tmpl w:val="3F54F0BC"/>
    <w:lvl w:ilvl="0" w:tplc="10062C5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47818A2"/>
    <w:multiLevelType w:val="hybridMultilevel"/>
    <w:tmpl w:val="010CA0A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68FC4FA5"/>
    <w:multiLevelType w:val="hybridMultilevel"/>
    <w:tmpl w:val="9FF2B10A"/>
    <w:lvl w:ilvl="0" w:tplc="C826DD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59107C2"/>
    <w:multiLevelType w:val="hybridMultilevel"/>
    <w:tmpl w:val="975C3550"/>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1"/>
  </w:num>
  <w:num w:numId="2">
    <w:abstractNumId w:val="5"/>
  </w:num>
  <w:num w:numId="3">
    <w:abstractNumId w:val="13"/>
  </w:num>
  <w:num w:numId="4">
    <w:abstractNumId w:val="6"/>
  </w:num>
  <w:num w:numId="5">
    <w:abstractNumId w:val="9"/>
  </w:num>
  <w:num w:numId="6">
    <w:abstractNumId w:val="4"/>
  </w:num>
  <w:num w:numId="7">
    <w:abstractNumId w:val="15"/>
  </w:num>
  <w:num w:numId="8">
    <w:abstractNumId w:val="2"/>
  </w:num>
  <w:num w:numId="9">
    <w:abstractNumId w:val="10"/>
  </w:num>
  <w:num w:numId="10">
    <w:abstractNumId w:val="1"/>
  </w:num>
  <w:num w:numId="11">
    <w:abstractNumId w:val="16"/>
  </w:num>
  <w:num w:numId="12">
    <w:abstractNumId w:val="7"/>
  </w:num>
  <w:num w:numId="13">
    <w:abstractNumId w:val="0"/>
  </w:num>
  <w:num w:numId="14">
    <w:abstractNumId w:val="3"/>
  </w:num>
  <w:num w:numId="15">
    <w:abstractNumId w:val="14"/>
  </w:num>
  <w:num w:numId="16">
    <w:abstractNumId w:val="17"/>
  </w:num>
  <w:num w:numId="17">
    <w:abstractNumId w:val="1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AF5"/>
    <w:rsid w:val="00004064"/>
    <w:rsid w:val="00010967"/>
    <w:rsid w:val="0002496E"/>
    <w:rsid w:val="00025822"/>
    <w:rsid w:val="00030DEE"/>
    <w:rsid w:val="00050095"/>
    <w:rsid w:val="00070875"/>
    <w:rsid w:val="00072D72"/>
    <w:rsid w:val="00074B79"/>
    <w:rsid w:val="0007501A"/>
    <w:rsid w:val="000770B3"/>
    <w:rsid w:val="000876A3"/>
    <w:rsid w:val="00096D2A"/>
    <w:rsid w:val="000B0DD5"/>
    <w:rsid w:val="000D5F11"/>
    <w:rsid w:val="000D66AE"/>
    <w:rsid w:val="0010415F"/>
    <w:rsid w:val="00111F6E"/>
    <w:rsid w:val="001202BA"/>
    <w:rsid w:val="001242C2"/>
    <w:rsid w:val="00124D31"/>
    <w:rsid w:val="00150A7B"/>
    <w:rsid w:val="001773AB"/>
    <w:rsid w:val="001A1080"/>
    <w:rsid w:val="001A1871"/>
    <w:rsid w:val="001B27CC"/>
    <w:rsid w:val="001B4E07"/>
    <w:rsid w:val="001B6040"/>
    <w:rsid w:val="001C0E83"/>
    <w:rsid w:val="001C6A08"/>
    <w:rsid w:val="001E19C9"/>
    <w:rsid w:val="001E2D7F"/>
    <w:rsid w:val="001F2F9F"/>
    <w:rsid w:val="001F383F"/>
    <w:rsid w:val="00205A19"/>
    <w:rsid w:val="00226103"/>
    <w:rsid w:val="0023490D"/>
    <w:rsid w:val="002354A4"/>
    <w:rsid w:val="00257656"/>
    <w:rsid w:val="00261040"/>
    <w:rsid w:val="00263F19"/>
    <w:rsid w:val="00277D63"/>
    <w:rsid w:val="00286798"/>
    <w:rsid w:val="00287E62"/>
    <w:rsid w:val="00297938"/>
    <w:rsid w:val="002A1308"/>
    <w:rsid w:val="002A32A0"/>
    <w:rsid w:val="002B0DAD"/>
    <w:rsid w:val="002B3DA7"/>
    <w:rsid w:val="002C2BB4"/>
    <w:rsid w:val="002E7ABA"/>
    <w:rsid w:val="00326361"/>
    <w:rsid w:val="00340AB2"/>
    <w:rsid w:val="00344AF5"/>
    <w:rsid w:val="00346B45"/>
    <w:rsid w:val="00356315"/>
    <w:rsid w:val="00376D5C"/>
    <w:rsid w:val="003800DD"/>
    <w:rsid w:val="003A7BE1"/>
    <w:rsid w:val="003B2CD8"/>
    <w:rsid w:val="003B3821"/>
    <w:rsid w:val="003B45DF"/>
    <w:rsid w:val="003B4D41"/>
    <w:rsid w:val="003E2E2F"/>
    <w:rsid w:val="003E37A9"/>
    <w:rsid w:val="00422ED5"/>
    <w:rsid w:val="00442BF8"/>
    <w:rsid w:val="00452AC6"/>
    <w:rsid w:val="00453D3B"/>
    <w:rsid w:val="00454C3C"/>
    <w:rsid w:val="00454ED5"/>
    <w:rsid w:val="004774C6"/>
    <w:rsid w:val="004A65B7"/>
    <w:rsid w:val="004B1CDE"/>
    <w:rsid w:val="004B25B8"/>
    <w:rsid w:val="004C0F04"/>
    <w:rsid w:val="004C1E26"/>
    <w:rsid w:val="004E1662"/>
    <w:rsid w:val="005078B6"/>
    <w:rsid w:val="005155B5"/>
    <w:rsid w:val="00526CBB"/>
    <w:rsid w:val="00533AB8"/>
    <w:rsid w:val="00536E29"/>
    <w:rsid w:val="005373F2"/>
    <w:rsid w:val="0054554C"/>
    <w:rsid w:val="0055670E"/>
    <w:rsid w:val="00556A2C"/>
    <w:rsid w:val="005857A0"/>
    <w:rsid w:val="0059211C"/>
    <w:rsid w:val="005B2C49"/>
    <w:rsid w:val="005B4F94"/>
    <w:rsid w:val="005C2139"/>
    <w:rsid w:val="005C73F5"/>
    <w:rsid w:val="005D0F3A"/>
    <w:rsid w:val="005D565D"/>
    <w:rsid w:val="005E0AC1"/>
    <w:rsid w:val="005F2C5A"/>
    <w:rsid w:val="005F352D"/>
    <w:rsid w:val="00626BC1"/>
    <w:rsid w:val="00647DA0"/>
    <w:rsid w:val="006522FF"/>
    <w:rsid w:val="0065302C"/>
    <w:rsid w:val="00674DC8"/>
    <w:rsid w:val="00681909"/>
    <w:rsid w:val="00682781"/>
    <w:rsid w:val="006965CB"/>
    <w:rsid w:val="006B295B"/>
    <w:rsid w:val="006C7B88"/>
    <w:rsid w:val="006E6B1C"/>
    <w:rsid w:val="006F2962"/>
    <w:rsid w:val="0070572F"/>
    <w:rsid w:val="00717965"/>
    <w:rsid w:val="00720206"/>
    <w:rsid w:val="0072040D"/>
    <w:rsid w:val="007213D4"/>
    <w:rsid w:val="00761621"/>
    <w:rsid w:val="00762927"/>
    <w:rsid w:val="007736EB"/>
    <w:rsid w:val="00776441"/>
    <w:rsid w:val="00777AA6"/>
    <w:rsid w:val="00787EE5"/>
    <w:rsid w:val="0079741A"/>
    <w:rsid w:val="007A3021"/>
    <w:rsid w:val="007B2901"/>
    <w:rsid w:val="007B34A3"/>
    <w:rsid w:val="007B608C"/>
    <w:rsid w:val="007D6A50"/>
    <w:rsid w:val="007E653C"/>
    <w:rsid w:val="007F77E2"/>
    <w:rsid w:val="008021AA"/>
    <w:rsid w:val="008030FC"/>
    <w:rsid w:val="00803ACE"/>
    <w:rsid w:val="0080567C"/>
    <w:rsid w:val="0082393F"/>
    <w:rsid w:val="00827571"/>
    <w:rsid w:val="0086599A"/>
    <w:rsid w:val="00873B43"/>
    <w:rsid w:val="008773AB"/>
    <w:rsid w:val="008A263E"/>
    <w:rsid w:val="008A4633"/>
    <w:rsid w:val="008A5BDC"/>
    <w:rsid w:val="008C3504"/>
    <w:rsid w:val="008D5014"/>
    <w:rsid w:val="008F3B9C"/>
    <w:rsid w:val="0093770C"/>
    <w:rsid w:val="0094629D"/>
    <w:rsid w:val="0094696D"/>
    <w:rsid w:val="0095568F"/>
    <w:rsid w:val="00981758"/>
    <w:rsid w:val="00982EFE"/>
    <w:rsid w:val="00986B08"/>
    <w:rsid w:val="00991E06"/>
    <w:rsid w:val="00993602"/>
    <w:rsid w:val="009B69F9"/>
    <w:rsid w:val="009D27DB"/>
    <w:rsid w:val="00A1193F"/>
    <w:rsid w:val="00A133AA"/>
    <w:rsid w:val="00A201F4"/>
    <w:rsid w:val="00A205D1"/>
    <w:rsid w:val="00A301CC"/>
    <w:rsid w:val="00A330B2"/>
    <w:rsid w:val="00A351DA"/>
    <w:rsid w:val="00A4298D"/>
    <w:rsid w:val="00A43E37"/>
    <w:rsid w:val="00A52B81"/>
    <w:rsid w:val="00A60C9E"/>
    <w:rsid w:val="00A66734"/>
    <w:rsid w:val="00A7278C"/>
    <w:rsid w:val="00A746E5"/>
    <w:rsid w:val="00A82546"/>
    <w:rsid w:val="00AB0E4D"/>
    <w:rsid w:val="00AB4B1E"/>
    <w:rsid w:val="00AB54D7"/>
    <w:rsid w:val="00AE51F4"/>
    <w:rsid w:val="00AF53FA"/>
    <w:rsid w:val="00B041E5"/>
    <w:rsid w:val="00B24F84"/>
    <w:rsid w:val="00B26153"/>
    <w:rsid w:val="00B4187B"/>
    <w:rsid w:val="00B511D4"/>
    <w:rsid w:val="00B544DB"/>
    <w:rsid w:val="00B557D4"/>
    <w:rsid w:val="00B62DF8"/>
    <w:rsid w:val="00B62FA1"/>
    <w:rsid w:val="00B70D12"/>
    <w:rsid w:val="00B81BBE"/>
    <w:rsid w:val="00B822AC"/>
    <w:rsid w:val="00B831BC"/>
    <w:rsid w:val="00B963A1"/>
    <w:rsid w:val="00B97FBC"/>
    <w:rsid w:val="00BA29C8"/>
    <w:rsid w:val="00BB1C90"/>
    <w:rsid w:val="00BD504D"/>
    <w:rsid w:val="00BE7B5D"/>
    <w:rsid w:val="00C12788"/>
    <w:rsid w:val="00C27298"/>
    <w:rsid w:val="00C31B3B"/>
    <w:rsid w:val="00C46408"/>
    <w:rsid w:val="00C6483C"/>
    <w:rsid w:val="00C66A61"/>
    <w:rsid w:val="00C71C35"/>
    <w:rsid w:val="00C81C85"/>
    <w:rsid w:val="00C87E68"/>
    <w:rsid w:val="00C904E8"/>
    <w:rsid w:val="00C9351C"/>
    <w:rsid w:val="00C97AC8"/>
    <w:rsid w:val="00CB3966"/>
    <w:rsid w:val="00CC7DAA"/>
    <w:rsid w:val="00CD38AC"/>
    <w:rsid w:val="00CE5E6B"/>
    <w:rsid w:val="00CF4725"/>
    <w:rsid w:val="00CF6DAE"/>
    <w:rsid w:val="00CF7632"/>
    <w:rsid w:val="00D104D3"/>
    <w:rsid w:val="00D11BF6"/>
    <w:rsid w:val="00D132D2"/>
    <w:rsid w:val="00D20651"/>
    <w:rsid w:val="00D65C89"/>
    <w:rsid w:val="00D8103E"/>
    <w:rsid w:val="00D85433"/>
    <w:rsid w:val="00DA64C2"/>
    <w:rsid w:val="00DB19A2"/>
    <w:rsid w:val="00DB3DF8"/>
    <w:rsid w:val="00DC2156"/>
    <w:rsid w:val="00DC2BC2"/>
    <w:rsid w:val="00DD10D2"/>
    <w:rsid w:val="00DD7BBD"/>
    <w:rsid w:val="00DE007F"/>
    <w:rsid w:val="00DE1B62"/>
    <w:rsid w:val="00DF14CF"/>
    <w:rsid w:val="00DF6AAD"/>
    <w:rsid w:val="00E0196D"/>
    <w:rsid w:val="00E02E5B"/>
    <w:rsid w:val="00E0760A"/>
    <w:rsid w:val="00E10585"/>
    <w:rsid w:val="00E12320"/>
    <w:rsid w:val="00E53250"/>
    <w:rsid w:val="00E53B13"/>
    <w:rsid w:val="00E55719"/>
    <w:rsid w:val="00E62673"/>
    <w:rsid w:val="00E6515B"/>
    <w:rsid w:val="00E71B63"/>
    <w:rsid w:val="00E81029"/>
    <w:rsid w:val="00E927AB"/>
    <w:rsid w:val="00EA52FF"/>
    <w:rsid w:val="00EC61F7"/>
    <w:rsid w:val="00EC6FBD"/>
    <w:rsid w:val="00ED01D6"/>
    <w:rsid w:val="00EF1489"/>
    <w:rsid w:val="00F070DE"/>
    <w:rsid w:val="00F34F05"/>
    <w:rsid w:val="00F50D80"/>
    <w:rsid w:val="00F53F70"/>
    <w:rsid w:val="00F54625"/>
    <w:rsid w:val="00F63177"/>
    <w:rsid w:val="00F66803"/>
    <w:rsid w:val="00F747FD"/>
    <w:rsid w:val="00F75D27"/>
    <w:rsid w:val="00F762A2"/>
    <w:rsid w:val="00F77EE9"/>
    <w:rsid w:val="00FA5A14"/>
    <w:rsid w:val="00FB5E18"/>
    <w:rsid w:val="00FB7575"/>
    <w:rsid w:val="00FC2743"/>
    <w:rsid w:val="00FF76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3F2732"/>
  <w15:docId w15:val="{2E02C7FD-38CC-4782-A442-A71357A36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B2901"/>
    <w:pPr>
      <w:spacing w:after="300" w:line="312" w:lineRule="auto"/>
      <w:jc w:val="both"/>
    </w:pPr>
    <w:rPr>
      <w:rFonts w:ascii="Lydian" w:hAnsi="Lydian"/>
      <w:sz w:val="22"/>
    </w:rPr>
  </w:style>
  <w:style w:type="paragraph" w:styleId="Ttulo1">
    <w:name w:val="heading 1"/>
    <w:basedOn w:val="Normal"/>
    <w:next w:val="Normal"/>
    <w:qFormat/>
    <w:rsid w:val="007B2901"/>
    <w:pPr>
      <w:keepNext/>
      <w:outlineLvl w:val="0"/>
    </w:pPr>
    <w:rPr>
      <w:rFonts w:ascii="Arial" w:hAnsi="Arial"/>
      <w:b/>
      <w:sz w:val="18"/>
      <w:lang w:val="es-ES_tradnl"/>
    </w:rPr>
  </w:style>
  <w:style w:type="paragraph" w:styleId="Ttulo2">
    <w:name w:val="heading 2"/>
    <w:basedOn w:val="Normal"/>
    <w:next w:val="Normal"/>
    <w:link w:val="Ttulo2Car"/>
    <w:semiHidden/>
    <w:unhideWhenUsed/>
    <w:qFormat/>
    <w:rsid w:val="00536E2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semiHidden/>
    <w:unhideWhenUsed/>
    <w:qFormat/>
    <w:rsid w:val="00536E2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rsid w:val="007B2901"/>
    <w:pPr>
      <w:ind w:left="284"/>
    </w:pPr>
    <w:rPr>
      <w:lang w:val="es-ES_tradnl"/>
    </w:rPr>
  </w:style>
  <w:style w:type="paragraph" w:styleId="Encabezado">
    <w:name w:val="header"/>
    <w:basedOn w:val="Normal"/>
    <w:rsid w:val="007B2901"/>
    <w:pPr>
      <w:tabs>
        <w:tab w:val="center" w:pos="4252"/>
        <w:tab w:val="right" w:pos="8504"/>
      </w:tabs>
    </w:pPr>
  </w:style>
  <w:style w:type="paragraph" w:styleId="Piedepgina">
    <w:name w:val="footer"/>
    <w:basedOn w:val="Normal"/>
    <w:rsid w:val="007B2901"/>
    <w:pPr>
      <w:tabs>
        <w:tab w:val="center" w:pos="4252"/>
        <w:tab w:val="right" w:pos="8504"/>
      </w:tabs>
    </w:pPr>
  </w:style>
  <w:style w:type="paragraph" w:styleId="Textodeglobo">
    <w:name w:val="Balloon Text"/>
    <w:basedOn w:val="Normal"/>
    <w:link w:val="TextodegloboCar"/>
    <w:rsid w:val="007B608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7B608C"/>
    <w:rPr>
      <w:rFonts w:ascii="Tahoma" w:hAnsi="Tahoma" w:cs="Tahoma"/>
      <w:sz w:val="16"/>
      <w:szCs w:val="16"/>
    </w:rPr>
  </w:style>
  <w:style w:type="paragraph" w:styleId="Prrafodelista">
    <w:name w:val="List Paragraph"/>
    <w:basedOn w:val="Normal"/>
    <w:qFormat/>
    <w:rsid w:val="002B0DAD"/>
    <w:pPr>
      <w:ind w:left="720"/>
      <w:contextualSpacing/>
    </w:pPr>
  </w:style>
  <w:style w:type="character" w:styleId="Refdecomentario">
    <w:name w:val="annotation reference"/>
    <w:basedOn w:val="Fuentedeprrafopredeter"/>
    <w:uiPriority w:val="99"/>
    <w:semiHidden/>
    <w:unhideWhenUsed/>
    <w:rsid w:val="00111F6E"/>
    <w:rPr>
      <w:sz w:val="16"/>
      <w:szCs w:val="16"/>
    </w:rPr>
  </w:style>
  <w:style w:type="paragraph" w:styleId="Textocomentario">
    <w:name w:val="annotation text"/>
    <w:basedOn w:val="Normal"/>
    <w:link w:val="TextocomentarioCar"/>
    <w:uiPriority w:val="99"/>
    <w:unhideWhenUsed/>
    <w:rsid w:val="00111F6E"/>
    <w:pPr>
      <w:spacing w:line="240" w:lineRule="auto"/>
    </w:pPr>
    <w:rPr>
      <w:sz w:val="20"/>
    </w:rPr>
  </w:style>
  <w:style w:type="character" w:customStyle="1" w:styleId="TextocomentarioCar">
    <w:name w:val="Texto comentario Car"/>
    <w:basedOn w:val="Fuentedeprrafopredeter"/>
    <w:link w:val="Textocomentario"/>
    <w:uiPriority w:val="99"/>
    <w:rsid w:val="00111F6E"/>
    <w:rPr>
      <w:rFonts w:ascii="Lydian" w:hAnsi="Lydian"/>
    </w:rPr>
  </w:style>
  <w:style w:type="paragraph" w:styleId="Asuntodelcomentario">
    <w:name w:val="annotation subject"/>
    <w:basedOn w:val="Textocomentario"/>
    <w:next w:val="Textocomentario"/>
    <w:link w:val="AsuntodelcomentarioCar"/>
    <w:semiHidden/>
    <w:unhideWhenUsed/>
    <w:rsid w:val="00111F6E"/>
    <w:rPr>
      <w:b/>
      <w:bCs/>
    </w:rPr>
  </w:style>
  <w:style w:type="character" w:customStyle="1" w:styleId="AsuntodelcomentarioCar">
    <w:name w:val="Asunto del comentario Car"/>
    <w:basedOn w:val="TextocomentarioCar"/>
    <w:link w:val="Asuntodelcomentario"/>
    <w:semiHidden/>
    <w:rsid w:val="00111F6E"/>
    <w:rPr>
      <w:rFonts w:ascii="Lydian" w:hAnsi="Lydian"/>
      <w:b/>
      <w:bCs/>
    </w:rPr>
  </w:style>
  <w:style w:type="character" w:customStyle="1" w:styleId="Ttulo2Car">
    <w:name w:val="Título 2 Car"/>
    <w:basedOn w:val="Fuentedeprrafopredeter"/>
    <w:link w:val="Ttulo2"/>
    <w:semiHidden/>
    <w:rsid w:val="00536E29"/>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semiHidden/>
    <w:rsid w:val="00536E29"/>
    <w:rPr>
      <w:rFonts w:asciiTheme="majorHAnsi" w:eastAsiaTheme="majorEastAsia" w:hAnsiTheme="majorHAnsi" w:cstheme="majorBidi"/>
      <w:color w:val="243F60" w:themeColor="accent1" w:themeShade="7F"/>
      <w:sz w:val="24"/>
      <w:szCs w:val="24"/>
    </w:rPr>
  </w:style>
  <w:style w:type="paragraph" w:styleId="Textoindependiente">
    <w:name w:val="Body Text"/>
    <w:basedOn w:val="Normal"/>
    <w:link w:val="TextoindependienteCar"/>
    <w:semiHidden/>
    <w:unhideWhenUsed/>
    <w:rsid w:val="00536E29"/>
    <w:pPr>
      <w:spacing w:after="120"/>
    </w:pPr>
  </w:style>
  <w:style w:type="character" w:customStyle="1" w:styleId="TextoindependienteCar">
    <w:name w:val="Texto independiente Car"/>
    <w:basedOn w:val="Fuentedeprrafopredeter"/>
    <w:link w:val="Textoindependiente"/>
    <w:semiHidden/>
    <w:rsid w:val="00536E29"/>
    <w:rPr>
      <w:rFonts w:ascii="Lydian" w:hAnsi="Lydi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285534">
      <w:bodyDiv w:val="1"/>
      <w:marLeft w:val="0"/>
      <w:marRight w:val="0"/>
      <w:marTop w:val="0"/>
      <w:marBottom w:val="0"/>
      <w:divBdr>
        <w:top w:val="none" w:sz="0" w:space="0" w:color="auto"/>
        <w:left w:val="none" w:sz="0" w:space="0" w:color="auto"/>
        <w:bottom w:val="none" w:sz="0" w:space="0" w:color="auto"/>
        <w:right w:val="none" w:sz="0" w:space="0" w:color="auto"/>
      </w:divBdr>
    </w:div>
    <w:div w:id="640306249">
      <w:bodyDiv w:val="1"/>
      <w:marLeft w:val="0"/>
      <w:marRight w:val="0"/>
      <w:marTop w:val="0"/>
      <w:marBottom w:val="0"/>
      <w:divBdr>
        <w:top w:val="none" w:sz="0" w:space="0" w:color="auto"/>
        <w:left w:val="none" w:sz="0" w:space="0" w:color="auto"/>
        <w:bottom w:val="none" w:sz="0" w:space="0" w:color="auto"/>
        <w:right w:val="none" w:sz="0" w:space="0" w:color="auto"/>
      </w:divBdr>
    </w:div>
    <w:div w:id="65818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MI%20ARCHIVO\PLANTILLAS%20DGOSS\Papel%20de%20Trabajos%20e%20Informe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MarcadorDePosición1</b:Tag>
    <b:SourceType>Book</b:SourceType>
    <b:Guid>{DCFB622A-5D8A-4C22-B567-412A9B9D5C0B}</b:Guid>
    <b:RefOrder>1</b:RefOrder>
  </b:Source>
</b:Sources>
</file>

<file path=customXml/itemProps1.xml><?xml version="1.0" encoding="utf-8"?>
<ds:datastoreItem xmlns:ds="http://schemas.openxmlformats.org/officeDocument/2006/customXml" ds:itemID="{F26C7678-B210-468C-AA40-A84048F0F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 de Trabajos e Informes</Template>
  <TotalTime>29</TotalTime>
  <Pages>10</Pages>
  <Words>3773</Words>
  <Characters>20757</Characters>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2022-06-20T11:19:00Z</cp:lastPrinted>
  <dcterms:created xsi:type="dcterms:W3CDTF">2022-07-01T11:12:00Z</dcterms:created>
  <dcterms:modified xsi:type="dcterms:W3CDTF">2022-07-01T12:16:00Z</dcterms:modified>
</cp:coreProperties>
</file>